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92448.xml.htm"/>
      <w:bookmarkStart w:id="1" w:name="kswkform4_17889924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Chubb Thomas Caldecot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999 PEACHTREE ST 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688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OXFORD INDUSTRIES INC</w:t>
              </w:r>
            </w:hyperlink>
            <w:r>
              <w:rPr/>
              <w:t xml:space="preserve"> [ </w:t>
            </w:r>
            <w:r>
              <w:rPr>
                <w:rFonts w:ascii="Times;serif" w:hAnsi="Times;serif"/>
                <w:color w:val="0000FF"/>
                <w:sz w:val="24"/>
                <w:shd w:fill="FFFFFF" w:val="clear"/>
              </w:rPr>
              <w:t>OXM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0"/>
        <w:gridCol w:w="780"/>
        <w:gridCol w:w="576"/>
        <w:gridCol w:w="369"/>
        <w:gridCol w:w="957"/>
        <w:gridCol w:w="428"/>
        <w:gridCol w:w="981"/>
        <w:gridCol w:w="1122"/>
        <w:gridCol w:w="969"/>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9,875</w:t>
            </w:r>
            <w:r>
              <w:rPr>
                <w:rFonts w:ascii="Times;serif" w:hAnsi="Times;serif"/>
                <w:color w:val="008000"/>
                <w:position w:val="7"/>
                <w:sz w:val="16"/>
                <w:sz w:val="20"/>
                <w:shd w:fill="FFFFFF" w:val="clear"/>
              </w:rPr>
              <w:t>(1)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11,785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2025-3 GRAT</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9,875</w:t>
            </w:r>
            <w:r>
              <w:rPr>
                <w:rFonts w:ascii="Times;serif" w:hAnsi="Times;serif"/>
                <w:color w:val="008000"/>
                <w:position w:val="7"/>
                <w:sz w:val="16"/>
                <w:sz w:val="20"/>
                <w:shd w:fill="FFFFFF" w:val="clear"/>
              </w:rPr>
              <w:t>(1)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40,075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11,785</w:t>
            </w:r>
            <w:r>
              <w:rPr>
                <w:rFonts w:ascii="Times;serif" w:hAnsi="Times;serif"/>
                <w:color w:val="008000"/>
                <w:position w:val="7"/>
                <w:sz w:val="16"/>
                <w:sz w:val="20"/>
                <w:shd w:fill="FFFFFF" w:val="clear"/>
              </w:rPr>
              <w:t>(2)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2025-3 GRAT</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11,785</w:t>
            </w:r>
            <w:r>
              <w:rPr>
                <w:rFonts w:ascii="Times;serif" w:hAnsi="Times;serif"/>
                <w:color w:val="008000"/>
                <w:position w:val="7"/>
                <w:sz w:val="16"/>
                <w:sz w:val="20"/>
                <w:shd w:fill="FFFFFF" w:val="clear"/>
              </w:rPr>
              <w:t>(2)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51,860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21,660</w:t>
            </w:r>
            <w:r>
              <w:rPr>
                <w:rFonts w:ascii="Times;serif" w:hAnsi="Times;serif"/>
                <w:color w:val="008000"/>
                <w:position w:val="7"/>
                <w:sz w:val="16"/>
                <w:sz w:val="20"/>
                <w:shd w:fill="FFFFFF" w:val="clear"/>
              </w:rPr>
              <w:t>(3)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21,660</w:t>
            </w:r>
            <w:r>
              <w:rPr>
                <w:rFonts w:ascii="Times;serif" w:hAnsi="Times;serif"/>
                <w:color w:val="008000"/>
                <w:position w:val="7"/>
                <w:sz w:val="16"/>
                <w:sz w:val="20"/>
                <w:shd w:fill="FFFFFF" w:val="clear"/>
              </w:rPr>
              <w:t>(3)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21,660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2026-2 GRAT</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30.9338</w:t>
            </w:r>
            <w:r>
              <w:rPr>
                <w:rFonts w:ascii="Times;serif" w:hAnsi="Times;serif"/>
                <w:color w:val="008000"/>
                <w:position w:val="7"/>
                <w:sz w:val="16"/>
                <w:sz w:val="20"/>
                <w:shd w:fill="FFFFFF" w:val="clear"/>
              </w:rPr>
              <w:t>(4)</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21,662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2025-4 GRAT</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2026-1 GRAT</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 for Spouse</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46,644</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Trusts for Children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17, 2026, 9,875 shares of the Issuer's common stock were transferred to the reporting person from a grantor retained annuity trust of which the reporting person is trustee (the "2025-3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20, 2026, 11,785 shares of the Issuer's common stock were transferred to the reporting person from the 2025-3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22, 2026, the reporting person transferred 21,660 shares of the Issuer's common stock to a grantor retained annuity trust (the "2026-2 GRAT")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purchased in multiple transactions at prices ranging from $30.67 to $31.22 per share, inclusive. The Reporting Person undertakes to provide to the Issuer, any security holder of the Issuer, or the staff of the Securities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O. Leptich,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6939" TargetMode="External"/><Relationship Id="rId5" Type="http://schemas.openxmlformats.org/officeDocument/2006/relationships/hyperlink" Target="http://www.sec.gov/cgi-bin/browse-edgar?action=getcompany&amp;CIK=00000752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4341</Characters>
  <CharactersWithSpaces>5022</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