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12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Oxford Industries,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1339" w:right="339" w:bottom="1440" w:gutter="0" w:footer="0" w:header="0"/>
        </w:sectPr>
      </w:pPr>
    </w:p>
    <w:p>
      <w:pPr>
        <w:spacing w:after="0" w:line="24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001-04365</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58-0831862</w:t>
      </w:r>
    </w:p>
    <w:p>
      <w:pPr>
        <w:spacing w:after="0" w:line="65" w:lineRule="exact"/>
        <w:rPr>
          <w:sz w:val="24"/>
          <w:szCs w:val="24"/>
          <w:color w:val="auto"/>
        </w:rPr>
      </w:pPr>
    </w:p>
    <w:p>
      <w:pPr>
        <w:sectPr>
          <w:pgSz w:w="11900" w:h="16838" w:orient="portrait"/>
          <w:cols w:equalWidth="0" w:num="3">
            <w:col w:w="4420" w:space="720"/>
            <w:col w:w="2880" w:space="720"/>
            <w:col w:w="2500"/>
          </w:cols>
          <w:pgMar w:left="320" w:top="1339"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00" w:space="720"/>
            <w:col w:w="2620" w:space="720"/>
            <w:col w:w="3380"/>
          </w:cols>
          <w:pgMar w:left="320" w:top="1339"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999 Peachtree Street, N.E., Suite 1225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659-2424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58"/>
        </w:trPr>
        <w:tc>
          <w:tcPr>
            <w:tcW w:w="45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Common Stock, $1 par value</w:t>
            </w:r>
          </w:p>
        </w:tc>
        <w:tc>
          <w:tcPr>
            <w:tcW w:w="2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OXM</w:t>
            </w:r>
          </w:p>
        </w:tc>
        <w:tc>
          <w:tcPr>
            <w:tcW w:w="4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10, 2026, Oxford Industries, Inc. issued a press release announcing, among other things, its financial results for the fiscal 2026 first quarter ended May 2, 2026. The press release is attached hereto as Exhibit 99.1 and is incorporated herein by reference.</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incorporated by reference into any registration statement or other document filed under the Securities Act of 1933, as amended, or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10,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2"/>
                <w:szCs w:val="22"/>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Oxford Industries, Inc.</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Suraj A. Palakshappa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-7620</wp:posOffset>
            </wp:positionV>
            <wp:extent cx="1345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Suraj A. Palakshappa</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ectPr>
          <w:pgSz w:w="11900" w:h="16838" w:orient="portrait"/>
          <w:cols w:equalWidth="0" w:num="1">
            <w:col w:w="11200"/>
          </w:cols>
          <w:pgMar w:left="320" w:top="11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Oxford: Owner of Tommy Bahama, Lilly Pulitzer and Johnny Was Reports First Quarter Results</w:t>
      </w:r>
    </w:p>
    <w:p>
      <w:pPr>
        <w:spacing w:after="0" w:line="25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ATLANTA, June 10, 2026 (GLOBE NEWSWIRE) -- Oxford Industries, Inc. (NYSE:OXM) today announced financial results for its first quarter of fiscal 2026 ended May 2, 2026.</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Consolidated net sales in the first quarter of fiscal 2026 were $391 million compared to $393 million in the first quarter of fiscal 2025. EPS on a GAAP basis was $1.00 compared to $1.70 in the first quarter of fiscal 2025. On an adjusted basis, EPS was $1.39 compared to $1.82 in the first quarter of fiscal 2025. Both GAAP and adjusted EPS in the first quarter of fiscal 2026 included $11 million, or $0.55 per share, of incremental tariff costs compared to the first quarter of fiscal 2025.</w:t>
      </w:r>
    </w:p>
    <w:p>
      <w:pPr>
        <w:spacing w:after="0" w:line="17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Tom Chubb, Chairman and CEO, commented, “We delivered net sales in line with our expectations, led by mid-single-digit positive comps at Tommy Bahama, and adjusted EPS above our guidance range, fueled by better-than-expected gross margins. Our overall performance also reflects softer than expected results at Lilly Pulitzer and a challenging environment marked by weak consumer sentiment and higher energy prices. At the same time, we made important progress during the first quarter on several strategic initiatives in our merchandising and marketing functions that we believe will enhance the operating performance of each of our brands over the long term."</w:t>
      </w:r>
    </w:p>
    <w:p>
      <w:pPr>
        <w:spacing w:after="0" w:line="18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Mr. Chubb concluded, “As we look to the remainder of the year, we expect macroeconomic pressures to continue weighing on consumer sentiment, and we are allowing time for our corrective actions at Lilly Pulitzer to gain traction. In light of these factors and recent comparable sales trends, we are narrowing our full-year sales guidance range by lowering the top end of the range. We are also raising the low end of our EPS guidance range, as we expect the current lower tariff rates to continue for the remainder of the year, together with disciplined expense and inventory management, to offset the impact of the narrowed sales outlook on profitability."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of Fiscal 2026 versus Fiscal 2025</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68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Sales by Operating Group</w:t>
            </w:r>
          </w:p>
        </w:tc>
        <w:tc>
          <w:tcPr>
            <w:tcW w:w="14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480" w:type="dxa"/>
            <w:vAlign w:val="bottom"/>
            <w:tcBorders>
              <w:top w:val="single" w:sz="8" w:color="auto"/>
              <w:bottom w:val="single" w:sz="8" w:color="auto"/>
              <w:right w:val="single" w:sz="8" w:color="auto"/>
            </w:tcBorders>
          </w:tcPr>
          <w:p>
            <w:pPr>
              <w:spacing w:after="0"/>
              <w:rPr>
                <w:sz w:val="24"/>
                <w:szCs w:val="24"/>
                <w:color w:val="auto"/>
              </w:rPr>
            </w:pPr>
          </w:p>
        </w:tc>
      </w:tr>
      <w:tr>
        <w:trPr>
          <w:trHeight w:val="291"/>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 in millions)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Change</w:t>
            </w:r>
          </w:p>
        </w:tc>
      </w:tr>
      <w:tr>
        <w:trPr>
          <w:trHeight w:val="289"/>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Tommy Bahama</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$224.6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$216.2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3.9%</w:t>
            </w:r>
          </w:p>
        </w:tc>
      </w:tr>
      <w:tr>
        <w:trPr>
          <w:trHeight w:val="290"/>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Lilly Pulitzer</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90.4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99.0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(8.8%)</w:t>
            </w:r>
          </w:p>
        </w:tc>
      </w:tr>
      <w:tr>
        <w:trPr>
          <w:trHeight w:val="290"/>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Johnny Was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37.9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43.5</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(12.9%)</w:t>
            </w:r>
          </w:p>
        </w:tc>
      </w:tr>
      <w:tr>
        <w:trPr>
          <w:trHeight w:val="290"/>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Emerging Brands</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38.6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34.2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12.8%</w:t>
            </w:r>
          </w:p>
        </w:tc>
      </w:tr>
      <w:tr>
        <w:trPr>
          <w:trHeight w:val="290"/>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Other</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(0.1)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NM</w:t>
            </w:r>
          </w:p>
        </w:tc>
      </w:tr>
      <w:tr>
        <w:trPr>
          <w:trHeight w:val="292"/>
        </w:trPr>
        <w:tc>
          <w:tcPr>
            <w:tcW w:w="6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Company</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$391.4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$392.9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(0.4%)</w:t>
            </w:r>
          </w:p>
        </w:tc>
      </w:tr>
    </w:tbl>
    <w:p>
      <w:pPr>
        <w:spacing w:after="0" w:line="29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sales were $391 million compared to $393 million in the first quarter of fiscal 2025.</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Full-price direct-to-consumer (DTC) sales decreased 1% to $247 million versus the first quarter of fiscal 2025.</w:t>
      </w:r>
    </w:p>
    <w:p>
      <w:pPr>
        <w:spacing w:after="0" w:line="21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Full-price retail sales of $135 million were comparable to the prior-year period.</w:t>
      </w:r>
    </w:p>
    <w:p>
      <w:pPr>
        <w:sectPr>
          <w:pgSz w:w="11900" w:h="16838" w:orient="portrait"/>
          <w:cols w:equalWidth="0" w:num="1">
            <w:col w:w="11260"/>
          </w:cols>
          <w:pgMar w:left="320" w:top="1148" w:right="319" w:bottom="1440" w:gutter="0" w:footer="0" w:header="0"/>
        </w:sectPr>
      </w:pPr>
    </w:p>
    <w:bookmarkStart w:id="4" w:name="page5"/>
    <w:bookmarkEnd w:id="4"/>
    <w:p>
      <w:pPr>
        <w:ind w:left="1940" w:hanging="312"/>
        <w:spacing w:after="0"/>
        <w:tabs>
          <w:tab w:leader="none" w:pos="1940"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E-commerce sales of $111 million were 2% lower than the prior-year period.</w:t>
      </w:r>
    </w:p>
    <w:p>
      <w:pPr>
        <w:spacing w:after="0" w:line="219" w:lineRule="exact"/>
        <w:rPr>
          <w:rFonts w:ascii="Times New Roman" w:cs="Times New Roman" w:eastAsia="Times New Roman" w:hAnsi="Times New Roman"/>
          <w:sz w:val="22"/>
          <w:szCs w:val="22"/>
          <w:color w:val="auto"/>
        </w:rPr>
      </w:pPr>
    </w:p>
    <w:p>
      <w:pPr>
        <w:ind w:left="1300" w:right="620" w:hanging="320"/>
        <w:spacing w:after="0" w:line="271"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Food and beverage sales of $38 million were 14% higher than the prior-year period driven by new locations opened in fiscal 2025. Comparable store sales were flat.</w:t>
      </w:r>
    </w:p>
    <w:p>
      <w:pPr>
        <w:spacing w:after="0" w:line="17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Outlet sales of $19 million were comparable to the prior-year period.</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Wholesale sales of $88 million were 5% lower than the first quarter of fiscal 2025.</w:t>
      </w:r>
    </w:p>
    <w:p>
      <w:pPr>
        <w:spacing w:after="0" w:line="219" w:lineRule="exact"/>
        <w:rPr>
          <w:rFonts w:ascii="Times New Roman" w:cs="Times New Roman" w:eastAsia="Times New Roman" w:hAnsi="Times New Roman"/>
          <w:sz w:val="22"/>
          <w:szCs w:val="22"/>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margin was 62.3%, compared to 64.2% in the first quarter of fiscal 2025. The decreased gross margin was primarily due to (1) approximately $11 million of increased cost of goods sold from additional tariffs implemented in fiscal 2025 and (2) a $4 million higher LIFO accounting charge in the first quarter of fiscal 2026 compared to the first quarter of fiscal 2025. These decreases were partially offset by (1) updated sourcing and pricing strategies across our portfolio, (2) lower freight costs to customers and (3) a change in sales mix with a shift to a higher proportion of direct to consumer sales. On an adjusted basis, which excludes the impact of LIFO accounting, gross margin was 63.4% compared to 64.3% in the first quarter of fiscal 2025.</w:t>
      </w:r>
    </w:p>
    <w:p>
      <w:pPr>
        <w:spacing w:after="0" w:line="180" w:lineRule="exact"/>
        <w:rPr>
          <w:rFonts w:ascii="Times New Roman" w:cs="Times New Roman" w:eastAsia="Times New Roman" w:hAnsi="Times New Roman"/>
          <w:sz w:val="22"/>
          <w:szCs w:val="22"/>
          <w:color w:val="auto"/>
        </w:rPr>
      </w:pPr>
    </w:p>
    <w:p>
      <w:pPr>
        <w:ind w:left="660" w:right="320" w:hanging="328"/>
        <w:spacing w:after="0" w:line="25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SG&amp;A was $211 million compared to $206 million, impacted primarily by new brick and mortar retail and food and beverage locations, increases in software and consulting costs and costs associated with the transition of our Lyons, Georgia distribution center operations. On an adjusted basis, SG&amp;A was $209 million compared to $206 million in the prior-year period.</w:t>
      </w:r>
    </w:p>
    <w:p>
      <w:pPr>
        <w:spacing w:after="0" w:line="176" w:lineRule="exact"/>
        <w:rPr>
          <w:rFonts w:ascii="Times New Roman" w:cs="Times New Roman" w:eastAsia="Times New Roman" w:hAnsi="Times New Roman"/>
          <w:sz w:val="22"/>
          <w:szCs w:val="22"/>
          <w:color w:val="auto"/>
        </w:rPr>
      </w:pPr>
    </w:p>
    <w:p>
      <w:pPr>
        <w:ind w:left="660" w:right="140" w:hanging="328"/>
        <w:spacing w:after="0" w:line="295"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Royalties and other operating income decreased from $7 million to $6 million in the first quarter of fiscal 2026 primarily reflecting lower Tommy Bahama royalty income due to reduced sales by licensing partners impacted by higher tariffs.</w:t>
      </w:r>
    </w:p>
    <w:p>
      <w:pPr>
        <w:spacing w:after="0" w:line="135" w:lineRule="exact"/>
        <w:rPr>
          <w:rFonts w:ascii="Times New Roman" w:cs="Times New Roman" w:eastAsia="Times New Roman" w:hAnsi="Times New Roman"/>
          <w:sz w:val="21"/>
          <w:szCs w:val="21"/>
          <w:color w:val="auto"/>
        </w:rPr>
      </w:pPr>
    </w:p>
    <w:p>
      <w:pPr>
        <w:jc w:val="both"/>
        <w:ind w:left="660" w:right="60" w:hanging="328"/>
        <w:spacing w:after="0" w:line="26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on a GAAP basis was $22 million, or 5.7% of net sales, compared to $36 million, or 9.2% of net sales, in the first quarter of fiscal 2025. On an adjusted basis, operating income was $30 million, or 7.7% of net sales, compared to $39 million, or 9.8% of net sales, in the first quarter of fiscal 2025.</w:t>
      </w:r>
    </w:p>
    <w:p>
      <w:pPr>
        <w:spacing w:after="0" w:line="167"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was $2 million, an increase from the prior year period, primarily due to a higher average outstanding debt balance during the first quarter of fiscal 2026 than the first quarter of fiscal 2025.</w:t>
      </w:r>
    </w:p>
    <w:p>
      <w:pPr>
        <w:spacing w:after="0" w:line="157" w:lineRule="exact"/>
        <w:rPr>
          <w:rFonts w:ascii="Times New Roman" w:cs="Times New Roman" w:eastAsia="Times New Roman" w:hAnsi="Times New Roman"/>
          <w:sz w:val="22"/>
          <w:szCs w:val="22"/>
          <w:color w:val="auto"/>
        </w:rPr>
      </w:pPr>
    </w:p>
    <w:p>
      <w:pPr>
        <w:ind w:left="660" w:right="80" w:hanging="328"/>
        <w:spacing w:after="0" w:line="28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first quarter of fiscal 2026 and first quarter of fiscal 2025, our effective tax rate of 25.4% and 24.1%, respectively, included the net impact of discrete items including interest received on tax receivables.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Balance Sheet and Liquidity</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Inventory as of the end of the first quarter of fiscal 2026 decreased $15 million, or 9%, on a LIFO basis compared to the end of the first quarter of fiscal 2025 primarily as a result of an increase to the LIFO reserve due to inflation in inventory costs. On a FIFO basis, inventory decreased $3 million, or 1%, compared to the end of the first quarter of fiscal 2025. Inventory as of May 2, 2026 included $9 million of additional costs capitalized into inventory related to the incremental U.S. tariffs implemented starting in fiscal 2025 compared to $3 million as of May 3, 2025.</w:t>
      </w:r>
    </w:p>
    <w:p>
      <w:pPr>
        <w:sectPr>
          <w:pgSz w:w="11900" w:h="16838" w:orient="portrait"/>
          <w:cols w:equalWidth="0" w:num="1">
            <w:col w:w="11240"/>
          </w:cols>
          <w:pgMar w:left="320" w:top="1152" w:right="339" w:bottom="1440" w:gutter="0" w:footer="0" w:header="0"/>
        </w:sectPr>
      </w:pPr>
    </w:p>
    <w:bookmarkStart w:id="5" w:name="page6"/>
    <w:bookmarkEnd w:id="5"/>
    <w:p>
      <w:pPr>
        <w:ind w:right="420"/>
        <w:spacing w:after="0" w:line="257" w:lineRule="auto"/>
        <w:rPr>
          <w:sz w:val="20"/>
          <w:szCs w:val="20"/>
          <w:color w:val="auto"/>
        </w:rPr>
      </w:pPr>
      <w:r>
        <w:rPr>
          <w:rFonts w:ascii="Times New Roman" w:cs="Times New Roman" w:eastAsia="Times New Roman" w:hAnsi="Times New Roman"/>
          <w:sz w:val="22"/>
          <w:szCs w:val="22"/>
          <w:color w:val="auto"/>
        </w:rPr>
        <w:t>During the first quarter of fiscal 2026, cash provided by operations was $8 million compared to cash used in operations of $4 million in the first quarter of fiscal 2025. The increase in cash flow from operations reflects disciplined working capital management partially offset by lower earnings.</w:t>
      </w:r>
    </w:p>
    <w:p>
      <w:pPr>
        <w:spacing w:after="0" w:line="18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Borrowings outstanding increased to $143 million at the end of the first quarter of fiscal 2026 compared to $118 million of borrowings outstanding at the end of the first quarter of fiscal 2025 and $116 million of borrowings outstanding at the end of fiscal 2025. During the first quarter of fiscal 2026, capital expenditures of $23 million, primarily associated with the new distribution center in Lyons, Georgia, and the opening of new brick and mortar locations, dividend payments of $11 million, and working capital requirements collectively exceeded cash flow from operations. The Company had $9 million of cash and cash equivalents at the end of the first quarter of fiscal 2026 versus $8 million of cash and cash equivalents at the end of the first quarter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w:t>
      </w:r>
    </w:p>
    <w:p>
      <w:pPr>
        <w:spacing w:after="0" w:line="224" w:lineRule="exact"/>
        <w:rPr>
          <w:sz w:val="20"/>
          <w:szCs w:val="20"/>
          <w:color w:val="auto"/>
        </w:rPr>
      </w:pPr>
    </w:p>
    <w:p>
      <w:pPr>
        <w:jc w:val="both"/>
        <w:ind w:right="640"/>
        <w:spacing w:after="0" w:line="257" w:lineRule="auto"/>
        <w:rPr>
          <w:sz w:val="20"/>
          <w:szCs w:val="20"/>
          <w:color w:val="auto"/>
        </w:rPr>
      </w:pPr>
      <w:r>
        <w:rPr>
          <w:rFonts w:ascii="Times New Roman" w:cs="Times New Roman" w:eastAsia="Times New Roman" w:hAnsi="Times New Roman"/>
          <w:sz w:val="22"/>
          <w:szCs w:val="22"/>
          <w:color w:val="auto"/>
        </w:rPr>
        <w:t>The Board of Directors declared a quarterly cash dividend of $0.70 per share. The dividend is payable on July 31, 2026 to shareholders of record as of the close of business on July 17, 2026. The Company has paid dividends every quarter since it became publicly owned in 1960.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22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For fiscal 2026, the Company is narrowing its full-year sales outlook by lowering the high end of the previous range and also tightening its adjusted EPS guidance by raising the low end of the previous guidance range. The Company now expects net sales in a range of $1.475 billion to $1.505 billion as compared to net sales of $1.478 billion in fiscal 2025. The Company expects GAAP earnings per share to be between $1.70 and $2.10, compared to fiscal 2025 GAAP net loss per share of $1.86, which included noncash impairment charges primarily associated with Johnny Was totaling $61 million, or $3.02 per share. Adjusted EPS is now expected to be between $2.30 and $2.70, compared to fiscal 2025 adjusted EPS of $2.11.</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For the second quarter of fiscal 2026, the Company expects net sales to be between $380 million and $400 million compared to net sales of $403 million in the second quarter of fiscal 2025. GAAP EPS is expected to be between $1.13 and $1.33 in the second quarter of fiscal 2026 compared to $1.12 in the second quarter of fiscal 2025. Adjusted EPS is expected to be in a range of $1.20 to $1.40 compared to $1.26 in the second quarter of fiscal 2025.</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The Company anticipates interest expense of $7 million in fiscal 2026, including $2 million in the second quarter of fiscal 2026. The Company’s effective tax rate is expected to be approximately 28% for the full year of fiscal 2026 and approximately 29% for the second quarter primarily reflecting the unfavorable net discrete tax expense related to shortfalls from stock-based compensation vesting during the quarter.</w:t>
      </w:r>
    </w:p>
    <w:p>
      <w:pPr>
        <w:spacing w:after="0" w:line="17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2"/>
          <w:szCs w:val="22"/>
          <w:color w:val="auto"/>
        </w:rPr>
        <w:t>Capital expenditures in fiscal 2026, including the $23 million in the first quarter of fiscal 2026, are expected to be approximately $60 million compared to $108 million in fiscal 2025. The planned year-over-year decrease relates to the completion of the new distribution center in Lyons, Georgia and fewer new store openings expected in fiscal 2026.</w:t>
      </w:r>
    </w:p>
    <w:p>
      <w:pPr>
        <w:sectPr>
          <w:pgSz w:w="11900" w:h="16838" w:orient="portrait"/>
          <w:cols w:equalWidth="0" w:num="1">
            <w:col w:w="11240"/>
          </w:cols>
          <w:pgMar w:left="320" w:top="11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24"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22"/>
          <w:szCs w:val="22"/>
          <w:color w:val="auto"/>
        </w:rPr>
        <w:t>The Company will hold a conference call with senior management to discuss its financial results at 4:30 p.m. ET today. A live web cast of the conference call will be available on the Company’s website at www.oxfordinc.com. A replay of the call will be available through June 24, 2026 by dialing (412) 317-6671 access code 13760616.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Oxford</w:t>
      </w:r>
    </w:p>
    <w:p>
      <w:pPr>
        <w:spacing w:after="0" w:line="218"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22"/>
          <w:szCs w:val="22"/>
          <w:color w:val="auto"/>
        </w:rPr>
        <w:t>Oxford Industries, Inc., a leader in the apparel industry, owns and markets the distinctive Tommy Bahama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Lilly Pulitzer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Johnny Was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Southern Tide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The Beaufort Bonnet Company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Duck Head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Jack Rogers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lifestyle brands. Oxford's stock has traded on the New York Stock Exchange since 1964 under the symbol OXM. For more information, please visit Oxford's website at www.oxfordinc.com.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per share information is presented on a diluted basis.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2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Company reports its consolidated financial statements in accordance with generally accepted accounting principles (GAAP). To supplement these consolidated financial results, management believes that a presentation and discussion of certain financial measures on an adjusted basis, which exclude certain non-operating or discrete gains, charges or other items, may provide a more meaningful basis on which investors may compare the Company’s ongoing results of operations between periods. These measures include EBITDA, adjusted EBITDA (when applicable), adjusted segment EBITDA, adjusted net earnings (loss), adjusted net earnings (loss) per share, adjusted gross profit, adjusted gross margin, adjusted SG&amp;A, and adjusted operating income, among others.</w:t>
      </w:r>
    </w:p>
    <w:p>
      <w:pPr>
        <w:spacing w:after="0" w:line="19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Management uses these non-GAAP financial measures in making financial, operational, and planning decisions to evaluate the Company’s ongoing performance. Management also uses these adjusted financial measures to discuss its business with investment and other financial institutions, its board of directors and others. Reconciliations of these adjusted measures to the most directly comparable financial measures calculated in accordance with GAAP are presented in tables included at the end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w:t>
      </w:r>
    </w:p>
    <w:p>
      <w:pPr>
        <w:spacing w:after="0" w:line="224"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2"/>
          <w:szCs w:val="22"/>
          <w:color w:val="auto"/>
        </w:rPr>
        <w:t>This press release includes statements that constitute forward-looking statements within the meaning of the federal securities laws. Generally, the words "believe," "expect," "intend," "estimate," "anticipate," "project," "will" and similar expressions identify forward-looking statements, which generally are not historical in nature. We intend for all forward-looking statements contained herein, in our press releases or on our website, and all subsequent written and oral forward-looking statements attributable to us or persons acting on our behalf, to be covered by the safe harbor provisions for forward-looking statements within the meaning of the Private Securities Litigation Reform Act of 1995 and the provisions of Section 27A of the Securities Act of 1933 and Section 21E of the Securities Exchange Act of 1934 (which Sections were adopted as part of the Private Securities Litigation Reform Act of 1995). Such statements are subject to a number of risks, uncertainties and assumptions including, without limitation:</w:t>
      </w:r>
    </w:p>
    <w:p>
      <w:pPr>
        <w:sectPr>
          <w:pgSz w:w="11900" w:h="16838" w:orient="portrait"/>
          <w:cols w:equalWidth="0" w:num="1">
            <w:col w:w="11200"/>
          </w:cols>
          <w:pgMar w:left="320" w:top="1148" w:right="379" w:bottom="1440" w:gutter="0" w:footer="0" w:header="0"/>
        </w:sectPr>
      </w:pPr>
    </w:p>
    <w:bookmarkStart w:id="7" w:name="page8"/>
    <w:bookmarkEnd w:id="7"/>
    <w:p>
      <w:pPr>
        <w:jc w:val="both"/>
        <w:ind w:left="490" w:hanging="490"/>
        <w:spacing w:after="0" w:line="251"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trade policies of the United States and those of other nations, including risks of potential future changes or worsening trade tensions between the United States and other countries and the impact of uncertainties surrounding U.S. trade policy on consumer sentiment;</w:t>
      </w:r>
    </w:p>
    <w:p>
      <w:pPr>
        <w:spacing w:after="0" w:line="1" w:lineRule="exact"/>
        <w:rPr>
          <w:rFonts w:ascii="Times New Roman" w:cs="Times New Roman" w:eastAsia="Times New Roman" w:hAnsi="Times New Roman"/>
          <w:sz w:val="22"/>
          <w:szCs w:val="22"/>
          <w:color w:val="auto"/>
        </w:rPr>
      </w:pP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mitigate current and potential future tariffs imposed and realize tariff refunds;</w:t>
      </w:r>
    </w:p>
    <w:p>
      <w:pPr>
        <w:spacing w:after="0" w:line="15" w:lineRule="exact"/>
        <w:rPr>
          <w:rFonts w:ascii="Times New Roman" w:cs="Times New Roman" w:eastAsia="Times New Roman" w:hAnsi="Times New Roman"/>
          <w:sz w:val="22"/>
          <w:szCs w:val="22"/>
          <w:color w:val="auto"/>
        </w:rPr>
      </w:pPr>
    </w:p>
    <w:p>
      <w:pPr>
        <w:jc w:val="both"/>
        <w:ind w:left="490" w:hanging="490"/>
        <w:spacing w:after="0" w:line="243"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for our products, which may be impacted by macroeconomic factors that may impact consumer discretionary spending and pricing levels for apparel and related products, many of which may be impacted by inflationary pressures, tariffs, interest rates, the stability of the banking industry or general economic uncertainty, and the effectiveness of measures to mitigate the impact of these factors;</w:t>
      </w:r>
    </w:p>
    <w:p>
      <w:pPr>
        <w:spacing w:after="0" w:line="3" w:lineRule="exact"/>
        <w:rPr>
          <w:rFonts w:ascii="Times New Roman" w:cs="Times New Roman" w:eastAsia="Times New Roman" w:hAnsi="Times New Roman"/>
          <w:sz w:val="22"/>
          <w:szCs w:val="22"/>
          <w:color w:val="auto"/>
        </w:rPr>
      </w:pPr>
    </w:p>
    <w:p>
      <w:pPr>
        <w:ind w:left="490" w:hanging="490"/>
        <w:spacing w:after="0" w:line="248"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relating to our product sourcing efforts, including our ability to identify alternative countries to source and produce our products and to successfully implement changes in our supply chain;</w:t>
      </w:r>
    </w:p>
    <w:p>
      <w:pPr>
        <w:spacing w:after="0" w:line="1" w:lineRule="exact"/>
        <w:rPr>
          <w:rFonts w:ascii="Times New Roman" w:cs="Times New Roman" w:eastAsia="Times New Roman" w:hAnsi="Times New Roman"/>
          <w:sz w:val="22"/>
          <w:szCs w:val="22"/>
          <w:color w:val="auto"/>
        </w:rPr>
      </w:pPr>
    </w:p>
    <w:p>
      <w:pPr>
        <w:ind w:left="490" w:hanging="490"/>
        <w:spacing w:after="0" w:line="243"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changes in governmental monetary and fiscal policies, including, but not limited to, Federal Reserve policies in connection with continued inflationary pressures or other factors;</w:t>
      </w:r>
    </w:p>
    <w:p>
      <w:pPr>
        <w:ind w:left="490" w:hanging="490"/>
        <w:spacing w:after="0" w:line="244"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competitive conditions and/or evolving consumer shopping patterns, particularly in a highly promotional retail environment, including those related to shifts in technology;</w:t>
      </w:r>
    </w:p>
    <w:p>
      <w:pPr>
        <w:ind w:left="490" w:right="20" w:hanging="490"/>
        <w:spacing w:after="0" w:line="248"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 supply chain constraints that have affected, and could continue to affect, transit, and other costs, including those related to disruptions of land or sea transportation routes or distribution or shipping channels;</w:t>
      </w:r>
    </w:p>
    <w:p>
      <w:pPr>
        <w:spacing w:after="0" w:line="1" w:lineRule="exact"/>
        <w:rPr>
          <w:rFonts w:ascii="Times New Roman" w:cs="Times New Roman" w:eastAsia="Times New Roman" w:hAnsi="Times New Roman"/>
          <w:sz w:val="22"/>
          <w:szCs w:val="22"/>
          <w:color w:val="auto"/>
        </w:rPr>
      </w:pP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inflationary pressures on labor costs, including wages, healthcare and other benefit-related costs;</w:t>
      </w:r>
    </w:p>
    <w:p>
      <w:pPr>
        <w:spacing w:after="0" w:line="3" w:lineRule="exact"/>
        <w:rPr>
          <w:rFonts w:ascii="Times New Roman" w:cs="Times New Roman" w:eastAsia="Times New Roman" w:hAnsi="Times New Roman"/>
          <w:sz w:val="22"/>
          <w:szCs w:val="22"/>
          <w:color w:val="auto"/>
        </w:rPr>
      </w:pPr>
    </w:p>
    <w:p>
      <w:pPr>
        <w:ind w:left="490" w:right="20" w:hanging="490"/>
        <w:spacing w:after="0" w:line="244"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products as well as the raw materials used in those products, as well as our ability to pass along price increases to consumers;</w:t>
      </w:r>
    </w:p>
    <w:p>
      <w:pPr>
        <w:ind w:left="490" w:hanging="490"/>
        <w:spacing w:after="0" w:line="248"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energy costs, including rising fuel prices and their impact on the costs of raw materials and our distribution and logistics operations;</w:t>
      </w:r>
    </w:p>
    <w:p>
      <w:pPr>
        <w:spacing w:after="0" w:line="1" w:lineRule="exact"/>
        <w:rPr>
          <w:rFonts w:ascii="Times New Roman" w:cs="Times New Roman" w:eastAsia="Times New Roman" w:hAnsi="Times New Roman"/>
          <w:sz w:val="22"/>
          <w:szCs w:val="22"/>
          <w:color w:val="auto"/>
        </w:rPr>
      </w:pP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respond to rapidly changing consumer expectations;</w:t>
      </w:r>
    </w:p>
    <w:p>
      <w:pPr>
        <w:spacing w:after="0" w:line="3" w:lineRule="exact"/>
        <w:rPr>
          <w:rFonts w:ascii="Times New Roman" w:cs="Times New Roman" w:eastAsia="Times New Roman" w:hAnsi="Times New Roman"/>
          <w:sz w:val="22"/>
          <w:szCs w:val="22"/>
          <w:color w:val="auto"/>
        </w:rPr>
      </w:pP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unseasonal or extreme weather conditions or natural disasters;</w:t>
      </w:r>
    </w:p>
    <w:p>
      <w:pPr>
        <w:spacing w:after="0" w:line="3" w:lineRule="exact"/>
        <w:rPr>
          <w:rFonts w:ascii="Times New Roman" w:cs="Times New Roman" w:eastAsia="Times New Roman" w:hAnsi="Times New Roman"/>
          <w:sz w:val="22"/>
          <w:szCs w:val="22"/>
          <w:color w:val="auto"/>
        </w:rPr>
      </w:pPr>
    </w:p>
    <w:p>
      <w:pPr>
        <w:jc w:val="both"/>
        <w:ind w:left="490" w:hanging="490"/>
        <w:spacing w:after="0" w:line="247"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difficulties for our business partners, including suppliers, vendors, wholesale customers, licensees, logistics providers and landlords, that may impact their ability to meet their obligations to us and/or continue our business relationship to the same degree as they have historically;</w:t>
      </w:r>
    </w:p>
    <w:p>
      <w:pPr>
        <w:spacing w:after="0" w:line="1" w:lineRule="exact"/>
        <w:rPr>
          <w:rFonts w:ascii="Times New Roman" w:cs="Times New Roman" w:eastAsia="Times New Roman" w:hAnsi="Times New Roman"/>
          <w:sz w:val="22"/>
          <w:szCs w:val="22"/>
          <w:color w:val="auto"/>
        </w:rPr>
      </w:pPr>
    </w:p>
    <w:p>
      <w:pPr>
        <w:ind w:left="490" w:hanging="490"/>
        <w:spacing w:after="0" w:line="243"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hiring of, retention of and disciplined execution by key management and other critical personnel, as well as the effective transition of executive level responsibilities;</w:t>
      </w:r>
    </w:p>
    <w:p>
      <w:pPr>
        <w:ind w:left="490" w:right="80" w:hanging="490"/>
        <w:spacing w:after="0" w:line="244"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key strategic initiatives to drive operating performance, such as the organizational realignment initiatives being undertaken at Johnny Was;</w:t>
      </w:r>
    </w:p>
    <w:p>
      <w:pPr>
        <w:jc w:val="both"/>
        <w:ind w:left="490" w:hanging="490"/>
        <w:spacing w:after="0" w:line="246"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breaches and ransomware attacks, as well as our and our third party vendors’ ability to properly collect, use, manage and secure business, consumer and employee data and maintain continuity of our information technology systems;</w:t>
      </w:r>
    </w:p>
    <w:p>
      <w:pPr>
        <w:spacing w:after="0" w:line="3" w:lineRule="exact"/>
        <w:rPr>
          <w:rFonts w:ascii="Times New Roman" w:cs="Times New Roman" w:eastAsia="Times New Roman" w:hAnsi="Times New Roman"/>
          <w:sz w:val="22"/>
          <w:szCs w:val="22"/>
          <w:color w:val="auto"/>
        </w:rPr>
      </w:pPr>
    </w:p>
    <w:p>
      <w:pPr>
        <w:jc w:val="both"/>
        <w:ind w:left="490" w:hanging="490"/>
        <w:spacing w:after="0" w:line="247"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inability or failure to successfully and effectively implement new information technology systems and supporting controls, including artificial intelligence-enabled tools, and risks associated with third-party service providers and interconnected systems;</w:t>
      </w:r>
    </w:p>
    <w:p>
      <w:pPr>
        <w:spacing w:after="0" w:line="1" w:lineRule="exact"/>
        <w:rPr>
          <w:rFonts w:ascii="Times New Roman" w:cs="Times New Roman" w:eastAsia="Times New Roman" w:hAnsi="Times New Roman"/>
          <w:sz w:val="22"/>
          <w:szCs w:val="22"/>
          <w:color w:val="auto"/>
        </w:rPr>
      </w:pPr>
    </w:p>
    <w:p>
      <w:pPr>
        <w:ind w:left="490" w:hanging="490"/>
        <w:spacing w:after="0" w:line="243"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our advertising initiatives in defining, launching and communicating brand-relevant customer experiences;</w:t>
      </w:r>
    </w:p>
    <w:p>
      <w:pPr>
        <w:ind w:left="490" w:right="20" w:hanging="490"/>
        <w:spacing w:after="0" w:line="244" w:lineRule="auto"/>
        <w:tabs>
          <w:tab w:leader="none" w:pos="48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level of our indebtedness, including the risks associated with heightened interest rates on the debt and the potential impact on our ability to operate and expand our business;</w:t>
      </w: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timing of shipments requested by our wholesale customers;</w:t>
      </w:r>
    </w:p>
    <w:p>
      <w:pPr>
        <w:spacing w:after="0" w:line="15" w:lineRule="exact"/>
        <w:rPr>
          <w:rFonts w:ascii="Times New Roman" w:cs="Times New Roman" w:eastAsia="Times New Roman" w:hAnsi="Times New Roman"/>
          <w:sz w:val="22"/>
          <w:szCs w:val="22"/>
          <w:color w:val="auto"/>
        </w:rPr>
      </w:pPr>
    </w:p>
    <w:p>
      <w:pPr>
        <w:ind w:left="490" w:hanging="490"/>
        <w:spacing w:after="0"/>
        <w:tabs>
          <w:tab w:leader="none" w:pos="4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fluctuations and volatility in global financial and/or real estate markets;</w:t>
      </w:r>
    </w:p>
    <w:p>
      <w:pPr>
        <w:sectPr>
          <w:pgSz w:w="11900" w:h="16838" w:orient="portrait"/>
          <w:cols w:equalWidth="0" w:num="1">
            <w:col w:w="11070"/>
          </w:cols>
          <w:pgMar w:left="490" w:top="936" w:right="339" w:bottom="1440" w:gutter="0" w:footer="0" w:header="0"/>
        </w:sectPr>
      </w:pPr>
    </w:p>
    <w:bookmarkStart w:id="8" w:name="page9"/>
    <w:bookmarkEnd w:id="8"/>
    <w:p>
      <w:pPr>
        <w:ind w:left="660" w:hanging="49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identify and secure suitable locations for new retail store and food and beverage openings;</w:t>
      </w:r>
    </w:p>
    <w:p>
      <w:pPr>
        <w:spacing w:after="0" w:line="27" w:lineRule="exact"/>
        <w:rPr>
          <w:rFonts w:ascii="Times New Roman" w:cs="Times New Roman" w:eastAsia="Times New Roman" w:hAnsi="Times New Roman"/>
          <w:sz w:val="22"/>
          <w:szCs w:val="22"/>
          <w:color w:val="auto"/>
        </w:rPr>
      </w:pPr>
    </w:p>
    <w:p>
      <w:pPr>
        <w:ind w:left="660" w:right="20" w:hanging="490"/>
        <w:spacing w:after="0" w:line="24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timing and cost of retail store and food and beverage location openings and remodels, technology implementations and other capital expenditures, including those related to enhancing artificial intelligence capabilities;</w:t>
      </w:r>
    </w:p>
    <w:p>
      <w:pPr>
        <w:ind w:left="660" w:right="20" w:hanging="490"/>
        <w:spacing w:after="0" w:line="248"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timing, cost and successful implementation of changes to our distribution network, including the possibility that we may not realize the anticipated benefits of our new state-of-the-art distribution center in Lyons, Georgia;</w:t>
      </w:r>
    </w:p>
    <w:p>
      <w:pPr>
        <w:spacing w:after="0" w:line="1" w:lineRule="exact"/>
        <w:rPr>
          <w:rFonts w:ascii="Times New Roman" w:cs="Times New Roman" w:eastAsia="Times New Roman" w:hAnsi="Times New Roman"/>
          <w:sz w:val="22"/>
          <w:szCs w:val="22"/>
          <w:color w:val="auto"/>
        </w:rPr>
      </w:pPr>
    </w:p>
    <w:p>
      <w:pPr>
        <w:ind w:left="660" w:hanging="490"/>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recent, focused efforts to reassess and realign our operating costs in light of revenue trends, including potential disruptions to our operations as a result of these efforts;</w:t>
      </w:r>
    </w:p>
    <w:p>
      <w:pPr>
        <w:ind w:left="660" w:hanging="49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pandemics or other public health crises;</w:t>
      </w:r>
    </w:p>
    <w:p>
      <w:pPr>
        <w:spacing w:after="0" w:line="5" w:lineRule="exact"/>
        <w:rPr>
          <w:rFonts w:ascii="Times New Roman" w:cs="Times New Roman" w:eastAsia="Times New Roman" w:hAnsi="Times New Roman"/>
          <w:sz w:val="22"/>
          <w:szCs w:val="22"/>
          <w:color w:val="auto"/>
        </w:rPr>
      </w:pPr>
    </w:p>
    <w:p>
      <w:pPr>
        <w:ind w:left="660" w:hanging="49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expected outcomes of pending or potential litigation and regulatory actions;</w:t>
      </w:r>
    </w:p>
    <w:p>
      <w:pPr>
        <w:spacing w:after="0" w:line="15" w:lineRule="exact"/>
        <w:rPr>
          <w:rFonts w:ascii="Times New Roman" w:cs="Times New Roman" w:eastAsia="Times New Roman" w:hAnsi="Times New Roman"/>
          <w:sz w:val="22"/>
          <w:szCs w:val="22"/>
          <w:color w:val="auto"/>
        </w:rPr>
      </w:pPr>
    </w:p>
    <w:p>
      <w:pPr>
        <w:ind w:left="660" w:hanging="490"/>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consumer, employee and regulatory focus on sustainability issues and practices, including failures by our suppliers to adhere to our vendor code of conduct;</w:t>
      </w:r>
    </w:p>
    <w:p>
      <w:pPr>
        <w:ind w:left="660" w:right="20" w:hanging="490"/>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regulation or prohibition of goods sourced, or containing raw materials or components, from certain regions and our ability to evidence compliance;</w:t>
      </w:r>
    </w:p>
    <w:p>
      <w:pPr>
        <w:ind w:left="660" w:hanging="490"/>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capital and/or credit markets;</w:t>
      </w:r>
    </w:p>
    <w:p>
      <w:pPr>
        <w:spacing w:after="0" w:line="5" w:lineRule="exact"/>
        <w:rPr>
          <w:rFonts w:ascii="Times New Roman" w:cs="Times New Roman" w:eastAsia="Times New Roman" w:hAnsi="Times New Roman"/>
          <w:sz w:val="22"/>
          <w:szCs w:val="22"/>
          <w:color w:val="auto"/>
        </w:rPr>
      </w:pPr>
    </w:p>
    <w:p>
      <w:pPr>
        <w:ind w:left="660" w:hanging="490"/>
        <w:spacing w:after="0" w:line="248"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factors that could affect our consolidated effective tax rate, including the impact of recent changes in U.S. tax laws and regulations and the interpretation and application of such laws and regulations;</w:t>
      </w:r>
    </w:p>
    <w:p>
      <w:pPr>
        <w:spacing w:after="0" w:line="1" w:lineRule="exact"/>
        <w:rPr>
          <w:rFonts w:ascii="Times New Roman" w:cs="Times New Roman" w:eastAsia="Times New Roman" w:hAnsi="Times New Roman"/>
          <w:sz w:val="22"/>
          <w:szCs w:val="22"/>
          <w:color w:val="auto"/>
        </w:rPr>
      </w:pPr>
    </w:p>
    <w:p>
      <w:pPr>
        <w:ind w:left="660" w:hanging="490"/>
        <w:spacing w:after="0" w:line="243"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impairment to goodwill and other intangible assets such as the impairment charges incurred in our Johnny Was and Jack Rogers reporting units during the third quarter of fiscal 2025; and</w:t>
      </w:r>
    </w:p>
    <w:p>
      <w:pPr>
        <w:ind w:left="660" w:hanging="490"/>
        <w:spacing w:after="0" w:line="261"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geopolitical risks, including the U.S.-Iran conflict as well as other hostilities in the Middle East, ongoing challenges between the United States and China and those related to the ongoing war in Ukraine.</w:t>
      </w:r>
    </w:p>
    <w:p>
      <w:pPr>
        <w:spacing w:after="0" w:line="16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Forward-looking statements reflect our expectations at the time such forward-looking statements are made, based on information available at such time, and are not guarantees of performance.</w:t>
      </w:r>
    </w:p>
    <w:p>
      <w:pPr>
        <w:spacing w:after="0" w:line="18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1"/>
          <w:szCs w:val="21"/>
          <w:color w:val="auto"/>
        </w:rPr>
        <w:t>Although we believe that the expectations reflected in such forward-looking statements are reasonable, these expectations could prove inaccurate as such statements involve risks and uncertainties, many of which are beyond our ability to control or predict. Should one or more of these risks or uncertainties, or other risks or uncertainties not currently known to us or that we currently deem to be immaterial, materialize, or should underlying assumptions prove incorrect, actual results may vary materially from those anticipated, estimated or projected. Important factors relating to these risks and uncertainties include, but are not limited to, those described in Part I. Item 1A. Risk Factors contained in our Fiscal 2025 Form 10-K, and those described from time to time in our future reports filed with the SEC. We caution that one should not place undue reliance on forward-looking statements, which speak only as of the date on which they are made. We disclaim any intention, obligation or duty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Brian Smith</w:t>
      </w:r>
    </w:p>
    <w:p>
      <w:pPr>
        <w:spacing w:after="0" w:line="44"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InvestorRelations@oxfordinc.com</w:t>
      </w:r>
    </w:p>
    <w:p>
      <w:pPr>
        <w:sectPr>
          <w:pgSz w:w="11900" w:h="16838" w:orient="portrait"/>
          <w:cols w:equalWidth="0" w:num="1">
            <w:col w:w="11240"/>
          </w:cols>
          <w:pgMar w:left="320" w:top="93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408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Oxford Industries, Inc.</w:t>
            </w: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4100" w:type="dxa"/>
            <w:vAlign w:val="bottom"/>
          </w:tcPr>
          <w:p>
            <w:pPr>
              <w:spacing w:after="0"/>
              <w:rPr>
                <w:sz w:val="22"/>
                <w:szCs w:val="22"/>
                <w:color w:val="auto"/>
              </w:rPr>
            </w:pPr>
          </w:p>
        </w:tc>
        <w:tc>
          <w:tcPr>
            <w:tcW w:w="408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4100" w:type="dxa"/>
            <w:vAlign w:val="bottom"/>
          </w:tcPr>
          <w:p>
            <w:pPr>
              <w:spacing w:after="0"/>
              <w:rPr>
                <w:sz w:val="22"/>
                <w:szCs w:val="22"/>
                <w:color w:val="auto"/>
              </w:rPr>
            </w:pPr>
          </w:p>
        </w:tc>
        <w:tc>
          <w:tcPr>
            <w:tcW w:w="40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 thousands, except par amounts)</w:t>
            </w: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4100" w:type="dxa"/>
            <w:vAlign w:val="bottom"/>
          </w:tcPr>
          <w:p>
            <w:pPr>
              <w:spacing w:after="0"/>
              <w:rPr>
                <w:sz w:val="22"/>
                <w:szCs w:val="22"/>
                <w:color w:val="auto"/>
              </w:rPr>
            </w:pPr>
          </w:p>
        </w:tc>
        <w:tc>
          <w:tcPr>
            <w:tcW w:w="40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41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400" w:type="dxa"/>
            <w:vAlign w:val="bottom"/>
          </w:tcPr>
          <w:p>
            <w:pPr>
              <w:spacing w:after="0"/>
              <w:rPr>
                <w:sz w:val="22"/>
                <w:szCs w:val="22"/>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63"/>
        </w:trPr>
        <w:tc>
          <w:tcPr>
            <w:tcW w:w="410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8,175</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93,533</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105,772</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147,488</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162,334</w:t>
            </w:r>
          </w:p>
        </w:tc>
      </w:tr>
      <w:tr>
        <w:trPr>
          <w:trHeight w:val="25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52,312</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41,253</w:t>
            </w:r>
          </w:p>
        </w:tc>
      </w:tr>
      <w:tr>
        <w:trPr>
          <w:trHeight w:val="25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302,693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317,534</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341,800</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281,504</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187,605</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255,768</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25,611</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27,403</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387,987</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372,452</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61,578</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63,195</w:t>
            </w:r>
          </w:p>
        </w:tc>
      </w:tr>
      <w:tr>
        <w:trPr>
          <w:trHeight w:val="257"/>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7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30,579</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21,850</w:t>
            </w:r>
          </w:p>
        </w:tc>
      </w:tr>
      <w:tr>
        <w:trPr>
          <w:trHeight w:val="25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1,337,853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1,339,706</w:t>
            </w:r>
          </w:p>
        </w:tc>
      </w:tr>
      <w:tr>
        <w:trPr>
          <w:trHeight w:val="257"/>
        </w:trPr>
        <w:tc>
          <w:tcPr>
            <w:tcW w:w="410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102,672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86,212</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23,075</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21,417</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66,274</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64,119</w:t>
            </w:r>
          </w:p>
        </w:tc>
      </w:tr>
      <w:tr>
        <w:trPr>
          <w:trHeight w:val="257"/>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7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66,372</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69,007</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258,393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240,755</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142,717</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117,714</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383,438</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360,935</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29,915</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27,879</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$1.00 par value per share</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14,900</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14,875</w:t>
            </w: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209,841</w:t>
            </w: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194,893</w:t>
            </w:r>
          </w:p>
        </w:tc>
      </w:tr>
      <w:tr>
        <w:trPr>
          <w:trHeight w:val="26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300,286</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385,761</w:t>
            </w:r>
          </w:p>
        </w:tc>
      </w:tr>
      <w:tr>
        <w:trPr>
          <w:trHeight w:val="25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(3,106)</w:t>
            </w:r>
          </w:p>
        </w:tc>
      </w:tr>
      <w:tr>
        <w:trPr>
          <w:trHeight w:val="25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523,390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592,423</w:t>
            </w:r>
          </w:p>
        </w:tc>
      </w:tr>
      <w:tr>
        <w:trPr>
          <w:trHeight w:val="25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1,337,853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1,339,706</w:t>
            </w:r>
          </w:p>
        </w:tc>
      </w:tr>
    </w:tbl>
    <w:p>
      <w:pPr>
        <w:sectPr>
          <w:pgSz w:w="11900" w:h="16838" w:orient="portrait"/>
          <w:cols w:equalWidth="0" w:num="1">
            <w:col w:w="11240"/>
          </w:cols>
          <w:pgMar w:left="320" w:top="119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Oxford Industries, Inc.</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3500" w:type="dxa"/>
            <w:vAlign w:val="bottom"/>
          </w:tcPr>
          <w:p>
            <w:pPr>
              <w:spacing w:after="0"/>
              <w:rPr>
                <w:sz w:val="22"/>
                <w:szCs w:val="22"/>
                <w:color w:val="auto"/>
              </w:rPr>
            </w:pPr>
          </w:p>
        </w:tc>
        <w:tc>
          <w:tcPr>
            <w:tcW w:w="5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3500" w:type="dxa"/>
            <w:vAlign w:val="bottom"/>
          </w:tcPr>
          <w:p>
            <w:pPr>
              <w:spacing w:after="0"/>
              <w:rPr>
                <w:sz w:val="22"/>
                <w:szCs w:val="22"/>
                <w:color w:val="auto"/>
              </w:rPr>
            </w:pPr>
          </w:p>
        </w:tc>
        <w:tc>
          <w:tcPr>
            <w:tcW w:w="54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3500" w:type="dxa"/>
            <w:vAlign w:val="bottom"/>
          </w:tcPr>
          <w:p>
            <w:pPr>
              <w:spacing w:after="0"/>
              <w:rPr>
                <w:sz w:val="22"/>
                <w:szCs w:val="22"/>
                <w:color w:val="auto"/>
              </w:rPr>
            </w:pPr>
          </w:p>
        </w:tc>
        <w:tc>
          <w:tcPr>
            <w:tcW w:w="54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3"/>
        </w:trPr>
        <w:tc>
          <w:tcPr>
            <w:tcW w:w="350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50"/>
        </w:trPr>
        <w:tc>
          <w:tcPr>
            <w:tcW w:w="350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2025</w:t>
            </w: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5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391,402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392,861</w:t>
            </w:r>
          </w:p>
        </w:tc>
      </w:tr>
      <w:tr>
        <w:trPr>
          <w:trHeight w:val="25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147,519</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140,575</w:t>
            </w:r>
          </w:p>
        </w:tc>
      </w:tr>
      <w:tr>
        <w:trPr>
          <w:trHeight w:val="25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252,286</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SG&amp;A</w:t>
            </w:r>
          </w:p>
        </w:tc>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210,888</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205,745</w:t>
            </w:r>
          </w:p>
        </w:tc>
      </w:tr>
      <w:tr>
        <w:trPr>
          <w:trHeight w:val="250"/>
        </w:trPr>
        <w:tc>
          <w:tcPr>
            <w:tcW w:w="3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16,963</w:t>
            </w: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222,708</w:t>
            </w:r>
          </w:p>
        </w:tc>
      </w:tr>
      <w:tr>
        <w:trPr>
          <w:trHeight w:val="25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 and other operating income</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5,748</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6,628</w:t>
            </w:r>
          </w:p>
        </w:tc>
      </w:tr>
      <w:tr>
        <w:trPr>
          <w:trHeight w:val="25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36,206</w:t>
            </w:r>
          </w:p>
        </w:tc>
      </w:tr>
      <w:tr>
        <w:trPr>
          <w:trHeight w:val="25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2,282</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5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34,480</w:t>
            </w:r>
          </w:p>
        </w:tc>
      </w:tr>
      <w:tr>
        <w:trPr>
          <w:trHeight w:val="25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5,093</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8,299</w:t>
            </w:r>
          </w:p>
        </w:tc>
      </w:tr>
      <w:tr>
        <w:trPr>
          <w:trHeight w:val="25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5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26,181</w:t>
            </w:r>
          </w:p>
        </w:tc>
      </w:tr>
      <w:tr>
        <w:trPr>
          <w:trHeight w:val="257"/>
        </w:trPr>
        <w:tc>
          <w:tcPr>
            <w:tcW w:w="350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14,892</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15,222</w:t>
            </w:r>
          </w:p>
        </w:tc>
      </w:tr>
      <w:tr>
        <w:trPr>
          <w:trHeight w:val="25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15,005</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15,404</w:t>
            </w:r>
          </w:p>
        </w:tc>
      </w:tr>
      <w:tr>
        <w:trPr>
          <w:trHeight w:val="25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5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r>
    </w:tbl>
    <w:p>
      <w:pPr>
        <w:sectPr>
          <w:pgSz w:w="11900" w:h="16838" w:orient="portrait"/>
          <w:cols w:equalWidth="0" w:num="1">
            <w:col w:w="11240"/>
          </w:cols>
          <w:pgMar w:left="320" w:top="119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Oxford Industries, Inc.</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784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784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3"/>
        </w:trPr>
        <w:tc>
          <w:tcPr>
            <w:tcW w:w="7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50"/>
        </w:trPr>
        <w:tc>
          <w:tcPr>
            <w:tcW w:w="78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2025</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26,181</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cash flows from operating activities: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14,573</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14,529</w:t>
            </w:r>
          </w:p>
        </w:tc>
      </w:tr>
      <w:tr>
        <w:trPr>
          <w:trHeight w:val="263"/>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r>
      <w:tr>
        <w:trPr>
          <w:trHeight w:val="250"/>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compensation expense</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3,727</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r>
      <w:tr>
        <w:trPr>
          <w:trHeight w:val="250"/>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63"/>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3,596</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r>
      <w:tr>
        <w:trPr>
          <w:trHeight w:val="250"/>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dispositions: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(24,281)</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r>
      <w:tr>
        <w:trPr>
          <w:trHeight w:val="250"/>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17,870</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5,271</w:t>
            </w:r>
          </w:p>
        </w:tc>
      </w:tr>
      <w:tr>
        <w:trPr>
          <w:trHeight w:val="263"/>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3,547</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5,053</w:t>
            </w:r>
          </w:p>
        </w:tc>
      </w:tr>
      <w:tr>
        <w:trPr>
          <w:trHeight w:val="250"/>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(6,239)</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(2,973)</w:t>
            </w:r>
          </w:p>
        </w:tc>
      </w:tr>
      <w:tr>
        <w:trPr>
          <w:trHeight w:val="263"/>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(15,709)</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(7,376)</w:t>
            </w:r>
          </w:p>
        </w:tc>
      </w:tr>
      <w:tr>
        <w:trPr>
          <w:trHeight w:val="250"/>
        </w:trPr>
        <w:tc>
          <w:tcPr>
            <w:tcW w:w="7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balance sheet changes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(16,244)</w:t>
            </w:r>
          </w:p>
        </w:tc>
      </w:tr>
      <w:tr>
        <w:trPr>
          <w:trHeight w:val="25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(3,942)</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(22,771)</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(23,427)</w:t>
            </w:r>
          </w:p>
        </w:tc>
      </w:tr>
      <w:tr>
        <w:trPr>
          <w:trHeight w:val="25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(23,455)</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revolving credit arrangements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(115,975)</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(94,125)</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arrangements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142,249</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180,733</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(50,526)</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(10,605)</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(10,381)</w:t>
            </w:r>
          </w:p>
        </w:tc>
      </w:tr>
      <w:tr>
        <w:trPr>
          <w:trHeight w:val="25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25,959</w:t>
            </w:r>
          </w:p>
        </w:tc>
      </w:tr>
      <w:tr>
        <w:trPr>
          <w:trHeight w:val="25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3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r>
      <w:tr>
        <w:trPr>
          <w:trHeight w:val="2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8,129</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9,470</w:t>
            </w:r>
          </w:p>
        </w:tc>
      </w:tr>
      <w:tr>
        <w:trPr>
          <w:trHeight w:val="25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8,175</w:t>
            </w:r>
          </w:p>
        </w:tc>
      </w:tr>
    </w:tbl>
    <w:p>
      <w:pPr>
        <w:sectPr>
          <w:pgSz w:w="11900" w:h="16838" w:orient="portrait"/>
          <w:cols w:equalWidth="0" w:num="1">
            <w:col w:w="11240"/>
          </w:cols>
          <w:pgMar w:left="320" w:top="119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48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Oxford Industries, Inc.</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48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Reconciliations of Certain Non-GAAP Financial Information</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48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48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4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460" w:type="dxa"/>
            <w:vAlign w:val="bottom"/>
            <w:vMerge w:val="continue"/>
          </w:tcPr>
          <w:p>
            <w:pPr>
              <w:spacing w:after="0"/>
              <w:rPr>
                <w:sz w:val="17"/>
                <w:szCs w:val="17"/>
                <w:color w:val="auto"/>
              </w:rPr>
            </w:pP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2026</w:t>
            </w:r>
          </w:p>
        </w:tc>
        <w:tc>
          <w:tcPr>
            <w:tcW w:w="14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1"/>
        </w:trPr>
        <w:tc>
          <w:tcPr>
            <w:tcW w:w="34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Tommy Bahama</w:t>
            </w:r>
          </w:p>
        </w:tc>
        <w:tc>
          <w:tcPr>
            <w:tcW w:w="4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224.6</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216.2</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139.7</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Lilly Pulitzer</w:t>
            </w:r>
          </w:p>
        </w:tc>
        <w:tc>
          <w:tcPr>
            <w:tcW w:w="4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90.4</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99.0</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64.9</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23.1</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Johnny Was</w:t>
            </w:r>
          </w:p>
        </w:tc>
        <w:tc>
          <w:tcPr>
            <w:tcW w:w="4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43.5</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28.1</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Emerging Brands</w:t>
            </w:r>
          </w:p>
        </w:tc>
        <w:tc>
          <w:tcPr>
            <w:tcW w:w="4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34.2</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 (loss)</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(0.8)</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EBITDA</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(11.0)</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391.4</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392.9</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243.9</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252.3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SG&amp;A</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210.9</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205.7</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SG&amp;A as % of net sales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 as % of net sales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36.2</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margin</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5.7 %</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34.5</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26.2</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31"/>
        </w:trPr>
        <w:tc>
          <w:tcPr>
            <w:tcW w:w="34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6"/>
        </w:trPr>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1"/>
        </w:trPr>
        <w:tc>
          <w:tcPr>
            <w:tcW w:w="34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segment EBITDA to net earnings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First Quarter</w:t>
            </w:r>
          </w:p>
        </w:tc>
        <w:tc>
          <w:tcPr>
            <w:tcW w:w="1320" w:type="dxa"/>
            <w:vAlign w:val="bottom"/>
            <w:tcBorders>
              <w:bottom w:val="single" w:sz="8" w:color="auto"/>
            </w:tcBorders>
          </w:tcPr>
          <w:p>
            <w:pPr>
              <w:spacing w:after="0"/>
              <w:rPr>
                <w:sz w:val="20"/>
                <w:szCs w:val="20"/>
                <w:color w:val="auto"/>
              </w:rPr>
            </w:pPr>
          </w:p>
        </w:tc>
      </w:tr>
      <w:tr>
        <w:trPr>
          <w:trHeight w:val="237"/>
        </w:trPr>
        <w:tc>
          <w:tcPr>
            <w:tcW w:w="7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13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EBITDA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5"/>
        </w:trPr>
        <w:tc>
          <w:tcPr>
            <w:tcW w:w="7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Tommy Bahama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38.3</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64"/>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Lilly Pulitzer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23.1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49"/>
        </w:trPr>
        <w:tc>
          <w:tcPr>
            <w:tcW w:w="7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Johnny Was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0.0</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64"/>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Emerging Brands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50"/>
        </w:trPr>
        <w:tc>
          <w:tcPr>
            <w:tcW w:w="7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Corporate and Other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(11.0)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5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53.2</w:t>
            </w:r>
          </w:p>
        </w:tc>
        <w:tc>
          <w:tcPr>
            <w:tcW w:w="1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(27.1)%</w:t>
            </w:r>
          </w:p>
        </w:tc>
      </w:tr>
      <w:tr>
        <w:trPr>
          <w:trHeight w:val="25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17.0</w:t>
            </w: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(3.4)%</w:t>
            </w:r>
          </w:p>
        </w:tc>
      </w:tr>
      <w:tr>
        <w:trPr>
          <w:trHeight w:val="2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36.2</w:t>
            </w:r>
          </w:p>
        </w:tc>
        <w:tc>
          <w:tcPr>
            <w:tcW w:w="1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(38.2)%</w:t>
            </w:r>
          </w:p>
        </w:tc>
      </w:tr>
      <w:tr>
        <w:trPr>
          <w:trHeight w:val="25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1.7</w:t>
            </w: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32.2%</w:t>
            </w:r>
          </w:p>
        </w:tc>
      </w:tr>
      <w:tr>
        <w:trPr>
          <w:trHeight w:val="25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34.5</w:t>
            </w:r>
          </w:p>
        </w:tc>
        <w:tc>
          <w:tcPr>
            <w:tcW w:w="1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(41.8)%</w:t>
            </w:r>
          </w:p>
        </w:tc>
      </w:tr>
      <w:tr>
        <w:trPr>
          <w:trHeight w:val="25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8.3</w:t>
            </w: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(38.6)%</w:t>
            </w:r>
          </w:p>
        </w:tc>
      </w:tr>
      <w:tr>
        <w:trPr>
          <w:trHeight w:val="250"/>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26.2</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(42.8)%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adjustments made to the as reported figures shown above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0" w:type="dxa"/>
            <w:vAlign w:val="bottom"/>
          </w:tcPr>
          <w:p>
            <w:pPr>
              <w:spacing w:after="0"/>
              <w:rPr>
                <w:sz w:val="1"/>
                <w:szCs w:val="1"/>
                <w:color w:val="auto"/>
              </w:rPr>
            </w:pPr>
          </w:p>
        </w:tc>
      </w:tr>
      <w:tr>
        <w:trPr>
          <w:trHeight w:val="3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280" w:type="dxa"/>
            <w:vAlign w:val="bottom"/>
          </w:tcPr>
          <w:p>
            <w:pPr>
              <w:spacing w:after="0"/>
              <w:rPr>
                <w:sz w:val="17"/>
                <w:szCs w:val="17"/>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0" w:type="dxa"/>
            <w:vAlign w:val="bottom"/>
          </w:tcPr>
          <w:p>
            <w:pPr>
              <w:spacing w:after="0"/>
              <w:rPr>
                <w:sz w:val="1"/>
                <w:szCs w:val="1"/>
                <w:color w:val="auto"/>
              </w:rPr>
            </w:pPr>
          </w:p>
        </w:tc>
      </w:tr>
      <w:tr>
        <w:trPr>
          <w:trHeight w:val="31"/>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LIFO adjustments</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Johnny Was intangible assets</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Lyons Distribution Center movement costs</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Merchandising strategic initiatives</w:t>
            </w:r>
            <w:r>
              <w:rPr>
                <w:rFonts w:ascii="Times New Roman" w:cs="Times New Roman" w:eastAsia="Times New Roman" w:hAnsi="Times New Roman"/>
                <w:sz w:val="21"/>
                <w:szCs w:val="21"/>
                <w:color w:val="auto"/>
                <w:vertAlign w:val="superscript"/>
              </w:rPr>
              <w:t>(4)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 closure impairment charges</w:t>
            </w:r>
            <w:r>
              <w:rPr>
                <w:rFonts w:ascii="Times New Roman" w:cs="Times New Roman" w:eastAsia="Times New Roman" w:hAnsi="Times New Roman"/>
                <w:sz w:val="21"/>
                <w:szCs w:val="21"/>
                <w:color w:val="auto"/>
                <w:vertAlign w:val="superscript"/>
              </w:rPr>
              <w:t>(5)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 of income taxes</w:t>
            </w:r>
            <w:r>
              <w:rPr>
                <w:rFonts w:ascii="Times New Roman" w:cs="Times New Roman" w:eastAsia="Times New Roman" w:hAnsi="Times New Roman"/>
                <w:sz w:val="21"/>
                <w:szCs w:val="21"/>
                <w:color w:val="auto"/>
                <w:vertAlign w:val="superscript"/>
              </w:rPr>
              <w:t>(6)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Adjustment to net earnings</w:t>
            </w:r>
            <w:r>
              <w:rPr>
                <w:rFonts w:ascii="Times New Roman" w:cs="Times New Roman" w:eastAsia="Times New Roman" w:hAnsi="Times New Roman"/>
                <w:sz w:val="21"/>
                <w:szCs w:val="21"/>
                <w:color w:val="auto"/>
                <w:vertAlign w:val="superscript"/>
              </w:rPr>
              <w:t>(7)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clarifies where the items that have been adjusted above to improve comparability of the financial information from period to period are presented in the consolidated statements of operations (in millions):</w:t>
      </w:r>
    </w:p>
    <w:p>
      <w:pPr>
        <w:spacing w:after="0" w:line="208"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7"/>
          <w:szCs w:val="17"/>
          <w:b w:val="1"/>
          <w:bCs w:val="1"/>
          <w:color w:val="auto"/>
        </w:rPr>
        <w:t>First Quarter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Fiscal 2025</w:t>
            </w:r>
          </w:p>
        </w:tc>
      </w:tr>
      <w:tr>
        <w:trPr>
          <w:trHeight w:val="31"/>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 (as reported)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147.5</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140.6</w:t>
            </w:r>
          </w:p>
        </w:tc>
      </w:tr>
      <w:tr>
        <w:trPr>
          <w:trHeight w:val="256"/>
        </w:trPr>
        <w:tc>
          <w:tcPr>
            <w:tcW w:w="7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LIFO adjustments</w:t>
            </w:r>
            <w:r>
              <w:rPr>
                <w:rFonts w:ascii="Times New Roman" w:cs="Times New Roman" w:eastAsia="Times New Roman" w:hAnsi="Times New Roman"/>
                <w:sz w:val="22"/>
                <w:szCs w:val="22"/>
                <w:color w:val="auto"/>
                <w:vertAlign w:val="superscript"/>
              </w:rPr>
              <w:t>(1)</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r>
      <w:tr>
        <w:trPr>
          <w:trHeight w:val="270"/>
        </w:trPr>
        <w:tc>
          <w:tcPr>
            <w:tcW w:w="7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5"/>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SG&amp;A (as reported)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210.9</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205.7</w:t>
            </w:r>
          </w:p>
        </w:tc>
      </w:tr>
      <w:tr>
        <w:trPr>
          <w:trHeight w:val="264"/>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Lyons Distribution Center movement costs</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7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Merchandising strategic initiatives</w:t>
            </w:r>
            <w:r>
              <w:rPr>
                <w:rFonts w:ascii="Times New Roman" w:cs="Times New Roman" w:eastAsia="Times New Roman" w:hAnsi="Times New Roman"/>
                <w:sz w:val="22"/>
                <w:szCs w:val="22"/>
                <w:color w:val="auto"/>
                <w:vertAlign w:val="superscript"/>
              </w:rPr>
              <w:t>(4)</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Store closure impairment charges</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(as reported)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17.0</w:t>
            </w:r>
          </w:p>
        </w:tc>
      </w:tr>
      <w:tr>
        <w:trPr>
          <w:trHeight w:val="256"/>
        </w:trPr>
        <w:tc>
          <w:tcPr>
            <w:tcW w:w="7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Amortization of Johnny Was intangible assets</w:t>
            </w:r>
            <w:r>
              <w:rPr>
                <w:rFonts w:ascii="Times New Roman" w:cs="Times New Roman" w:eastAsia="Times New Roman" w:hAnsi="Times New Roman"/>
                <w:sz w:val="22"/>
                <w:szCs w:val="22"/>
                <w:color w:val="auto"/>
                <w:vertAlign w:val="superscript"/>
              </w:rPr>
              <w:t>(2)</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r>
      <w:tr>
        <w:trPr>
          <w:trHeight w:val="256"/>
        </w:trPr>
        <w:tc>
          <w:tcPr>
            <w:tcW w:w="7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operating income (as reported)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22.4</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36.2</w:t>
            </w:r>
          </w:p>
        </w:tc>
      </w:tr>
    </w:tbl>
    <w:p>
      <w:pPr>
        <w:sectPr>
          <w:pgSz w:w="11900" w:h="16838" w:orient="portrait"/>
          <w:cols w:equalWidth="0" w:num="1">
            <w:col w:w="11240"/>
          </w:cols>
          <w:pgMar w:left="320" w:top="66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2026</w:t>
            </w:r>
          </w:p>
        </w:tc>
        <w:tc>
          <w:tcPr>
            <w:tcW w:w="16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Tommy Bahama</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216.2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139.7</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r>
              <w:rPr>
                <w:rFonts w:ascii="Times New Roman" w:cs="Times New Roman" w:eastAsia="Times New Roman" w:hAnsi="Times New Roman"/>
                <w:sz w:val="21"/>
                <w:szCs w:val="21"/>
                <w:color w:val="auto"/>
                <w:vertAlign w:val="superscript"/>
              </w:rPr>
              <w:t>(4)</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17.7%</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Lilly Pulitzer</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64.9</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23.1</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Johnny Was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28.1</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r>
              <w:rPr>
                <w:rFonts w:ascii="Times New Roman" w:cs="Times New Roman" w:eastAsia="Times New Roman" w:hAnsi="Times New Roman"/>
                <w:sz w:val="21"/>
                <w:szCs w:val="21"/>
                <w:color w:val="auto"/>
                <w:vertAlign w:val="superscript"/>
              </w:rPr>
              <w:t>(5)</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Emerging Brands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20.3</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EBITDA</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2.9</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Segment EBITDA margin</w:t>
            </w:r>
            <w:r>
              <w:rPr>
                <w:rFonts w:ascii="Times New Roman" w:cs="Times New Roman" w:eastAsia="Times New Roman" w:hAnsi="Times New Roman"/>
                <w:sz w:val="21"/>
                <w:szCs w:val="21"/>
                <w:color w:val="auto"/>
                <w:vertAlign w:val="superscript"/>
              </w:rPr>
              <w:t>(5)</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Corporate EBITDA</w:t>
            </w:r>
            <w:r>
              <w:rPr>
                <w:rFonts w:ascii="Times New Roman" w:cs="Times New Roman" w:eastAsia="Times New Roman" w:hAnsi="Times New Roman"/>
                <w:sz w:val="21"/>
                <w:szCs w:val="21"/>
                <w:color w:val="auto"/>
                <w:vertAlign w:val="superscript"/>
              </w:rPr>
              <w:t>(1)(3)(4)(6)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(10.6)</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392.9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252.8</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63.4%</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SG&amp;A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205.7</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SG&amp;A as % of net sales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38.6</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2"/>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margin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36.9</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1.82</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
        </w:trPr>
        <w:tc>
          <w:tcPr>
            <w:tcW w:w="8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352"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First Quarter</w:t>
            </w:r>
          </w:p>
        </w:tc>
        <w:tc>
          <w:tcPr>
            <w:tcW w:w="3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First Quarter</w:t>
            </w:r>
          </w:p>
        </w:tc>
        <w:tc>
          <w:tcPr>
            <w:tcW w:w="30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First Quarter</w:t>
            </w:r>
          </w:p>
        </w:tc>
      </w:tr>
      <w:tr>
        <w:trPr>
          <w:trHeight w:val="257"/>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2026</w:t>
            </w:r>
          </w:p>
        </w:tc>
        <w:tc>
          <w:tcPr>
            <w:tcW w:w="300" w:type="dxa"/>
            <w:vAlign w:val="bottom"/>
          </w:tcPr>
          <w:p>
            <w:pPr>
              <w:spacing w:after="0"/>
              <w:rPr>
                <w:sz w:val="22"/>
                <w:szCs w:val="22"/>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Fiscal 2025</w:t>
            </w:r>
          </w:p>
        </w:tc>
      </w:tr>
      <w:tr>
        <w:trPr>
          <w:trHeight w:val="257"/>
        </w:trPr>
        <w:tc>
          <w:tcPr>
            <w:tcW w:w="5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5"/>
              </w:rPr>
              <w:t>Guidance</w:t>
            </w:r>
            <w:r>
              <w:rPr>
                <w:rFonts w:ascii="Times New Roman" w:cs="Times New Roman" w:eastAsia="Times New Roman" w:hAnsi="Times New Roman"/>
                <w:sz w:val="23"/>
                <w:szCs w:val="23"/>
                <w:b w:val="1"/>
                <w:bCs w:val="1"/>
                <w:color w:val="auto"/>
                <w:w w:val="95"/>
                <w:vertAlign w:val="superscript"/>
              </w:rPr>
              <w:t>(8)</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3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diluted share: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basis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1.13 - 1.23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63"/>
        </w:trPr>
        <w:tc>
          <w:tcPr>
            <w:tcW w:w="58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LIFO adjustments</w:t>
            </w:r>
            <w:r>
              <w:rPr>
                <w:rFonts w:ascii="Times New Roman" w:cs="Times New Roman" w:eastAsia="Times New Roman" w:hAnsi="Times New Roman"/>
                <w:sz w:val="23"/>
                <w:szCs w:val="23"/>
                <w:color w:val="auto"/>
                <w:vertAlign w:val="superscript"/>
              </w:rPr>
              <w:t>(1)(9)</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0.22</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57"/>
        </w:trPr>
        <w:tc>
          <w:tcPr>
            <w:tcW w:w="5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Amortization of Johnny Was intangible assets</w:t>
            </w:r>
            <w:r>
              <w:rPr>
                <w:rFonts w:ascii="Times New Roman" w:cs="Times New Roman" w:eastAsia="Times New Roman" w:hAnsi="Times New Roman"/>
                <w:sz w:val="23"/>
                <w:szCs w:val="23"/>
                <w:color w:val="auto"/>
                <w:vertAlign w:val="superscript"/>
              </w:rPr>
              <w:t>(2)(9)</w:t>
            </w: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0.07</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22"/>
                <w:szCs w:val="22"/>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257"/>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Lyons distribution center movement costs</w:t>
            </w:r>
            <w:r>
              <w:rPr>
                <w:rFonts w:ascii="Times New Roman" w:cs="Times New Roman" w:eastAsia="Times New Roman" w:hAnsi="Times New Roman"/>
                <w:sz w:val="23"/>
                <w:szCs w:val="23"/>
                <w:color w:val="auto"/>
                <w:vertAlign w:val="superscript"/>
              </w:rPr>
              <w:t>(3)(9)</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0.03</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56"/>
        </w:trPr>
        <w:tc>
          <w:tcPr>
            <w:tcW w:w="5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Merchandising strategic initiatives</w:t>
            </w:r>
            <w:r>
              <w:rPr>
                <w:rFonts w:ascii="Times New Roman" w:cs="Times New Roman" w:eastAsia="Times New Roman" w:hAnsi="Times New Roman"/>
                <w:sz w:val="23"/>
                <w:szCs w:val="23"/>
                <w:color w:val="auto"/>
                <w:vertAlign w:val="superscript"/>
              </w:rPr>
              <w:t>(4)(9)</w:t>
            </w: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2"/>
                <w:szCs w:val="22"/>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5820" w:type="dxa"/>
            <w:vAlign w:val="bottom"/>
            <w:tcBorders>
              <w:bottom w:val="single" w:sz="8" w:color="auto"/>
            </w:tcBorders>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Store closure impairment charges</w:t>
            </w:r>
            <w:r>
              <w:rPr>
                <w:rFonts w:ascii="Times New Roman" w:cs="Times New Roman" w:eastAsia="Times New Roman" w:hAnsi="Times New Roman"/>
                <w:sz w:val="23"/>
                <w:szCs w:val="23"/>
                <w:color w:val="auto"/>
                <w:vertAlign w:val="superscript"/>
              </w:rPr>
              <w:t>(5)(9)</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50"/>
        </w:trPr>
        <w:tc>
          <w:tcPr>
            <w:tcW w:w="582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3"/>
                <w:szCs w:val="23"/>
                <w:color w:val="auto"/>
                <w:vertAlign w:val="superscript"/>
              </w:rPr>
              <w:t>(7)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1.39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1.20 - 1.30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49"/>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3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3"/>
        </w:trPr>
        <w:tc>
          <w:tcPr>
            <w:tcW w:w="5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2025</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5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Guidance</w:t>
            </w:r>
            <w:r>
              <w:rPr>
                <w:rFonts w:ascii="Times New Roman" w:cs="Times New Roman" w:eastAsia="Times New Roman" w:hAnsi="Times New Roman"/>
                <w:sz w:val="23"/>
                <w:szCs w:val="23"/>
                <w:b w:val="1"/>
                <w:bCs w:val="1"/>
                <w:color w:val="auto"/>
                <w:w w:val="94"/>
                <w:vertAlign w:val="superscript"/>
              </w:rPr>
              <w:t>(10)</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diluted share: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basis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1.13 - 1.33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LIFO adjustments</w:t>
            </w:r>
            <w:r>
              <w:rPr>
                <w:rFonts w:ascii="Times New Roman" w:cs="Times New Roman" w:eastAsia="Times New Roman" w:hAnsi="Times New Roman"/>
                <w:sz w:val="23"/>
                <w:szCs w:val="23"/>
                <w:color w:val="auto"/>
                <w:vertAlign w:val="superscript"/>
              </w:rPr>
              <w:t>(11)</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tcBorders>
              <w:bottom w:val="single" w:sz="8" w:color="auto"/>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Amortization of Johnny Was intangible assets</w:t>
            </w:r>
            <w:r>
              <w:rPr>
                <w:rFonts w:ascii="Times New Roman" w:cs="Times New Roman" w:eastAsia="Times New Roman" w:hAnsi="Times New Roman"/>
                <w:sz w:val="23"/>
                <w:szCs w:val="23"/>
                <w:color w:val="auto"/>
                <w:vertAlign w:val="superscript"/>
              </w:rPr>
              <w:t>(2)(9)</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0.07</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5"/>
        </w:trPr>
        <w:tc>
          <w:tcPr>
            <w:tcW w:w="582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3"/>
                <w:szCs w:val="23"/>
                <w:color w:val="auto"/>
                <w:vertAlign w:val="superscript"/>
              </w:rPr>
              <w:t>(7)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1.20 - 1.40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716"/>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3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2025</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5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Guidance</w:t>
            </w:r>
            <w:r>
              <w:rPr>
                <w:rFonts w:ascii="Times New Roman" w:cs="Times New Roman" w:eastAsia="Times New Roman" w:hAnsi="Times New Roman"/>
                <w:sz w:val="23"/>
                <w:szCs w:val="23"/>
                <w:b w:val="1"/>
                <w:bCs w:val="1"/>
                <w:color w:val="auto"/>
                <w:w w:val="94"/>
                <w:vertAlign w:val="superscript"/>
              </w:rPr>
              <w:t>(10)</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diluted share: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basis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1.70 - 2.10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LIFO adjustments</w:t>
            </w:r>
            <w:r>
              <w:rPr>
                <w:rFonts w:ascii="Times New Roman" w:cs="Times New Roman" w:eastAsia="Times New Roman" w:hAnsi="Times New Roman"/>
                <w:sz w:val="23"/>
                <w:szCs w:val="23"/>
                <w:color w:val="auto"/>
                <w:vertAlign w:val="superscript"/>
              </w:rPr>
              <w:t>(11)</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0.22</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Amortization of Johnny Was intangible assets</w:t>
            </w:r>
            <w:r>
              <w:rPr>
                <w:rFonts w:ascii="Times New Roman" w:cs="Times New Roman" w:eastAsia="Times New Roman" w:hAnsi="Times New Roman"/>
                <w:sz w:val="23"/>
                <w:szCs w:val="23"/>
                <w:color w:val="auto"/>
                <w:vertAlign w:val="superscript"/>
              </w:rPr>
              <w:t>(2)(9)</w:t>
            </w: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0.27</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Lyons distribution center movement costs</w:t>
            </w:r>
            <w:r>
              <w:rPr>
                <w:rFonts w:ascii="Times New Roman" w:cs="Times New Roman" w:eastAsia="Times New Roman" w:hAnsi="Times New Roman"/>
                <w:sz w:val="23"/>
                <w:szCs w:val="23"/>
                <w:color w:val="auto"/>
                <w:vertAlign w:val="superscript"/>
              </w:rPr>
              <w:t>(3)(9)</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0.03</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Merchandising strategic initiatives</w:t>
            </w:r>
            <w:r>
              <w:rPr>
                <w:rFonts w:ascii="Times New Roman" w:cs="Times New Roman" w:eastAsia="Times New Roman" w:hAnsi="Times New Roman"/>
                <w:sz w:val="23"/>
                <w:szCs w:val="23"/>
                <w:color w:val="auto"/>
                <w:vertAlign w:val="superscript"/>
              </w:rPr>
              <w:t>(4)(9)</w:t>
            </w: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Store closure impairment charges</w:t>
            </w:r>
            <w:r>
              <w:rPr>
                <w:rFonts w:ascii="Times New Roman" w:cs="Times New Roman" w:eastAsia="Times New Roman" w:hAnsi="Times New Roman"/>
                <w:sz w:val="23"/>
                <w:szCs w:val="23"/>
                <w:color w:val="auto"/>
                <w:vertAlign w:val="superscript"/>
              </w:rPr>
              <w:t>(5)(9)</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Johnny Was impairment charges</w:t>
            </w:r>
            <w:r>
              <w:rPr>
                <w:rFonts w:ascii="Times New Roman" w:cs="Times New Roman" w:eastAsia="Times New Roman" w:hAnsi="Times New Roman"/>
                <w:sz w:val="23"/>
                <w:szCs w:val="23"/>
                <w:color w:val="auto"/>
                <w:vertAlign w:val="superscript"/>
              </w:rPr>
              <w:t>(12)(9)</w:t>
            </w:r>
          </w:p>
        </w:tc>
        <w:tc>
          <w:tcPr>
            <w:tcW w:w="24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8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Johnny Was organizational realignment initiatives</w:t>
            </w:r>
            <w:r>
              <w:rPr>
                <w:rFonts w:ascii="Times New Roman" w:cs="Times New Roman" w:eastAsia="Times New Roman" w:hAnsi="Times New Roman"/>
                <w:sz w:val="23"/>
                <w:szCs w:val="23"/>
                <w:color w:val="auto"/>
                <w:vertAlign w:val="superscript"/>
              </w:rPr>
              <w:t>(13)(9)</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5820" w:type="dxa"/>
            <w:vAlign w:val="bottom"/>
            <w:tcBorders>
              <w:bottom w:val="single" w:sz="8" w:color="auto"/>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Emerging Brands impairment charges</w:t>
            </w:r>
            <w:r>
              <w:rPr>
                <w:rFonts w:ascii="Times New Roman" w:cs="Times New Roman" w:eastAsia="Times New Roman" w:hAnsi="Times New Roman"/>
                <w:sz w:val="23"/>
                <w:szCs w:val="23"/>
                <w:color w:val="auto"/>
                <w:vertAlign w:val="superscript"/>
              </w:rPr>
              <w:t>(14)(9)</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5"/>
        </w:trPr>
        <w:tc>
          <w:tcPr>
            <w:tcW w:w="582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3"/>
                <w:szCs w:val="23"/>
                <w:color w:val="auto"/>
                <w:vertAlign w:val="superscript"/>
              </w:rPr>
              <w:t>(7)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2.30 - 2.70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ectPr>
          <w:pgSz w:w="11900" w:h="16838" w:orient="portrait"/>
          <w:cols w:equalWidth="0" w:num="1">
            <w:col w:w="11080"/>
          </w:cols>
          <w:pgMar w:left="320" w:top="698" w:right="499" w:bottom="1440" w:gutter="0" w:footer="0" w:header="0"/>
        </w:sectPr>
      </w:pPr>
    </w:p>
    <w:bookmarkStart w:id="16" w:name="page17"/>
    <w:bookmarkEnd w:id="16"/>
    <w:p>
      <w:pPr>
        <w:ind w:left="252" w:hanging="252"/>
        <w:spacing w:after="0" w:line="224"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LIFO adjustments represents the impact of LIFO accounting adjustments. These adjustments are included in cost of goods sold in Corporate and Other.</w:t>
      </w:r>
    </w:p>
    <w:p>
      <w:pPr>
        <w:spacing w:after="0" w:line="3" w:lineRule="exact"/>
        <w:rPr>
          <w:rFonts w:ascii="Times New Roman" w:cs="Times New Roman" w:eastAsia="Times New Roman" w:hAnsi="Times New Roman"/>
          <w:sz w:val="28"/>
          <w:szCs w:val="28"/>
          <w:color w:val="auto"/>
          <w:vertAlign w:val="superscript"/>
        </w:rPr>
      </w:pPr>
    </w:p>
    <w:p>
      <w:pPr>
        <w:ind w:left="252" w:right="320" w:hanging="252"/>
        <w:spacing w:after="0" w:line="224"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Amortization of Johnny Was intangible assets represents the amortization related to intangible assets acquired as part of the Johnny Was acquisition. These charges are included in depreciation and amortization in Johnny Was.</w:t>
      </w:r>
    </w:p>
    <w:p>
      <w:pPr>
        <w:spacing w:after="0" w:line="2" w:lineRule="exact"/>
        <w:rPr>
          <w:rFonts w:ascii="Times New Roman" w:cs="Times New Roman" w:eastAsia="Times New Roman" w:hAnsi="Times New Roman"/>
          <w:sz w:val="28"/>
          <w:szCs w:val="28"/>
          <w:color w:val="auto"/>
          <w:vertAlign w:val="superscript"/>
        </w:rPr>
      </w:pPr>
    </w:p>
    <w:p>
      <w:pPr>
        <w:ind w:left="252" w:right="600" w:hanging="252"/>
        <w:spacing w:after="0" w:line="225"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Lyons distribution center relocation costs relate to one-time, non-recurring costs to move inventory between distribution facilities in Lyons, Georgia. These charges are included in SG&amp;A in Corporate and Other.</w:t>
      </w:r>
    </w:p>
    <w:p>
      <w:pPr>
        <w:ind w:left="252" w:right="280" w:hanging="252"/>
        <w:spacing w:after="0" w:line="226"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Merchandising strategic initiatives relate to one-time, non-recurring costs, incurred to assess and strategically align our merchandising operations across the Company. These charges are included in SG&amp;A in Tommy Bahama and Corporate and Other.</w:t>
      </w:r>
    </w:p>
    <w:p>
      <w:pPr>
        <w:spacing w:after="0" w:line="4" w:lineRule="exact"/>
        <w:rPr>
          <w:rFonts w:ascii="Times New Roman" w:cs="Times New Roman" w:eastAsia="Times New Roman" w:hAnsi="Times New Roman"/>
          <w:sz w:val="28"/>
          <w:szCs w:val="28"/>
          <w:color w:val="auto"/>
          <w:vertAlign w:val="superscript"/>
        </w:rPr>
      </w:pPr>
    </w:p>
    <w:p>
      <w:pPr>
        <w:ind w:left="252" w:right="520" w:hanging="252"/>
        <w:spacing w:after="0" w:line="224"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Store closure impairment charges relate to charges incurred to close retail stores. These charges are included in SG&amp;A in Johnny Was and Emerging Brands.</w:t>
      </w:r>
    </w:p>
    <w:p>
      <w:pPr>
        <w:spacing w:after="0" w:line="3" w:lineRule="exact"/>
        <w:rPr>
          <w:rFonts w:ascii="Times New Roman" w:cs="Times New Roman" w:eastAsia="Times New Roman" w:hAnsi="Times New Roman"/>
          <w:sz w:val="28"/>
          <w:szCs w:val="28"/>
          <w:color w:val="auto"/>
          <w:vertAlign w:val="superscript"/>
        </w:rPr>
      </w:pPr>
    </w:p>
    <w:p>
      <w:pPr>
        <w:ind w:left="252" w:hanging="252"/>
        <w:spacing w:after="0" w:line="224" w:lineRule="auto"/>
        <w:tabs>
          <w:tab w:leader="none" w:pos="2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Impact of income taxes represents the estimated tax impact of the above adjustments based on the estimated applicable tax rate on current year earnings.</w:t>
      </w:r>
    </w:p>
    <w:p>
      <w:pPr>
        <w:spacing w:after="0" w:line="2" w:lineRule="exact"/>
        <w:rPr>
          <w:rFonts w:ascii="Times New Roman" w:cs="Times New Roman" w:eastAsia="Times New Roman" w:hAnsi="Times New Roman"/>
          <w:sz w:val="28"/>
          <w:szCs w:val="28"/>
          <w:color w:val="auto"/>
          <w:vertAlign w:val="superscript"/>
        </w:rPr>
      </w:pPr>
    </w:p>
    <w:p>
      <w:pPr>
        <w:ind w:left="232" w:hanging="232"/>
        <w:spacing w:after="0" w:line="201" w:lineRule="auto"/>
        <w:tabs>
          <w:tab w:leader="none" w:pos="232"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Amounts in columns may not add due to rounding.</w:t>
      </w:r>
    </w:p>
    <w:p>
      <w:pPr>
        <w:spacing w:after="0" w:line="25" w:lineRule="exact"/>
        <w:rPr>
          <w:rFonts w:ascii="Times New Roman" w:cs="Times New Roman" w:eastAsia="Times New Roman" w:hAnsi="Times New Roman"/>
          <w:sz w:val="28"/>
          <w:szCs w:val="28"/>
          <w:color w:val="auto"/>
          <w:vertAlign w:val="superscript"/>
        </w:rPr>
      </w:pPr>
    </w:p>
    <w:p>
      <w:pPr>
        <w:ind w:left="232" w:hanging="232"/>
        <w:spacing w:after="0" w:line="192" w:lineRule="auto"/>
        <w:tabs>
          <w:tab w:leader="none" w:pos="232"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Guidance as issued on March 26, 2026.</w:t>
      </w:r>
    </w:p>
    <w:p>
      <w:pPr>
        <w:spacing w:after="0" w:line="12" w:lineRule="exact"/>
        <w:rPr>
          <w:rFonts w:ascii="Times New Roman" w:cs="Times New Roman" w:eastAsia="Times New Roman" w:hAnsi="Times New Roman"/>
          <w:sz w:val="28"/>
          <w:szCs w:val="28"/>
          <w:color w:val="auto"/>
          <w:vertAlign w:val="superscript"/>
        </w:rPr>
      </w:pPr>
    </w:p>
    <w:p>
      <w:pPr>
        <w:ind w:left="232" w:hanging="232"/>
        <w:spacing w:after="0" w:line="192" w:lineRule="auto"/>
        <w:tabs>
          <w:tab w:leader="none" w:pos="232"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Adjustments shown net of income taxes.</w:t>
      </w:r>
    </w:p>
    <w:p>
      <w:pPr>
        <w:spacing w:after="0" w:line="12" w:lineRule="exact"/>
        <w:rPr>
          <w:rFonts w:ascii="Times New Roman" w:cs="Times New Roman" w:eastAsia="Times New Roman" w:hAnsi="Times New Roman"/>
          <w:sz w:val="28"/>
          <w:szCs w:val="28"/>
          <w:color w:val="auto"/>
          <w:vertAlign w:val="superscript"/>
        </w:rPr>
      </w:pPr>
    </w:p>
    <w:p>
      <w:pPr>
        <w:ind w:left="292" w:hanging="292"/>
        <w:spacing w:after="0" w:line="218" w:lineRule="auto"/>
        <w:tabs>
          <w:tab w:leader="none" w:pos="292"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Guidance as issued on June 10, 2026.</w:t>
      </w:r>
    </w:p>
    <w:p>
      <w:pPr>
        <w:spacing w:after="0" w:line="12" w:lineRule="exact"/>
        <w:rPr>
          <w:rFonts w:ascii="Times New Roman" w:cs="Times New Roman" w:eastAsia="Times New Roman" w:hAnsi="Times New Roman"/>
          <w:sz w:val="26"/>
          <w:szCs w:val="26"/>
          <w:color w:val="auto"/>
          <w:vertAlign w:val="superscript"/>
        </w:rPr>
      </w:pPr>
    </w:p>
    <w:p>
      <w:pPr>
        <w:ind w:left="292" w:hanging="292"/>
        <w:spacing w:after="0" w:line="207" w:lineRule="auto"/>
        <w:tabs>
          <w:tab w:leader="none" w:pos="292"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No estimate for LIFO accounting adjustments is reflected in the guidance for any future periods.</w:t>
      </w:r>
    </w:p>
    <w:p>
      <w:pPr>
        <w:spacing w:after="0" w:line="25" w:lineRule="exact"/>
        <w:rPr>
          <w:rFonts w:ascii="Times New Roman" w:cs="Times New Roman" w:eastAsia="Times New Roman" w:hAnsi="Times New Roman"/>
          <w:sz w:val="26"/>
          <w:szCs w:val="26"/>
          <w:color w:val="auto"/>
          <w:vertAlign w:val="superscript"/>
        </w:rPr>
      </w:pPr>
    </w:p>
    <w:p>
      <w:pPr>
        <w:ind w:left="252" w:right="260" w:hanging="252"/>
        <w:spacing w:after="0" w:line="233" w:lineRule="auto"/>
        <w:tabs>
          <w:tab w:leader="none" w:pos="297"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Johnny Was impairment charges represent the impairment of the Johnny Was intangible asset balances. These charges were included in impairment of goodwill and intangible assets in Johnny Was.</w:t>
      </w:r>
    </w:p>
    <w:p>
      <w:pPr>
        <w:spacing w:after="0" w:line="2" w:lineRule="exact"/>
        <w:rPr>
          <w:rFonts w:ascii="Times New Roman" w:cs="Times New Roman" w:eastAsia="Times New Roman" w:hAnsi="Times New Roman"/>
          <w:sz w:val="26"/>
          <w:szCs w:val="26"/>
          <w:color w:val="auto"/>
          <w:vertAlign w:val="superscript"/>
        </w:rPr>
      </w:pPr>
    </w:p>
    <w:p>
      <w:pPr>
        <w:ind w:left="252" w:right="420" w:hanging="252"/>
        <w:spacing w:after="0" w:line="244" w:lineRule="auto"/>
        <w:tabs>
          <w:tab w:leader="none" w:pos="297"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Johnny Was organizational realignment initiatives include severance costs, consulting fees and store closure related costs. These charges are included in SG&amp;A and depreciation and amortization in Johnny Was.</w:t>
      </w:r>
    </w:p>
    <w:p>
      <w:pPr>
        <w:spacing w:after="0" w:line="1" w:lineRule="exact"/>
        <w:rPr>
          <w:rFonts w:ascii="Times New Roman" w:cs="Times New Roman" w:eastAsia="Times New Roman" w:hAnsi="Times New Roman"/>
          <w:sz w:val="26"/>
          <w:szCs w:val="26"/>
          <w:color w:val="auto"/>
          <w:vertAlign w:val="superscript"/>
        </w:rPr>
      </w:pPr>
    </w:p>
    <w:p>
      <w:pPr>
        <w:ind w:left="252" w:right="360" w:hanging="252"/>
        <w:spacing w:after="0" w:line="251" w:lineRule="auto"/>
        <w:tabs>
          <w:tab w:leader="none" w:pos="297"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Emerging Brands impairment charges represent the impairment of the Jack Rogers goodwill and intangible asset balances. These charges were included in impairment of goodwill and intangible assets in Emerging Brands.</w:t>
      </w:r>
    </w:p>
    <w:p>
      <w:pPr>
        <w:sectPr>
          <w:pgSz w:w="11900" w:h="16838" w:orient="portrait"/>
          <w:cols w:equalWidth="0" w:num="1">
            <w:col w:w="11212"/>
          </w:cols>
          <w:pgMar w:left="328" w:top="1314"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95"/>
        </w:trPr>
        <w:tc>
          <w:tcPr>
            <w:tcW w:w="37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Direct to Consumer Location Count</w:t>
            </w:r>
          </w:p>
        </w:tc>
        <w:tc>
          <w:tcPr>
            <w:tcW w:w="1240" w:type="dxa"/>
            <w:vAlign w:val="bottom"/>
            <w:tcBorders>
              <w:bottom w:val="single" w:sz="8" w:color="auto"/>
            </w:tcBorders>
          </w:tcPr>
          <w:p>
            <w:pPr>
              <w:spacing w:after="0"/>
              <w:rPr>
                <w:sz w:val="24"/>
                <w:szCs w:val="24"/>
                <w:color w:val="auto"/>
              </w:rPr>
            </w:pPr>
          </w:p>
        </w:tc>
      </w:tr>
      <w:tr>
        <w:trPr>
          <w:trHeight w:val="290"/>
        </w:trPr>
        <w:tc>
          <w:tcPr>
            <w:tcW w:w="3760" w:type="dxa"/>
            <w:vAlign w:val="bottom"/>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2"/>
                <w:szCs w:val="22"/>
                <w:b w:val="1"/>
                <w:bCs w:val="1"/>
                <w:color w:val="auto"/>
                <w:w w:val="99"/>
              </w:rPr>
              <w:t>End of Q1</w:t>
            </w:r>
          </w:p>
        </w:tc>
        <w:tc>
          <w:tcPr>
            <w:tcW w:w="1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End of Q2</w:t>
            </w:r>
          </w:p>
        </w:tc>
        <w:tc>
          <w:tcPr>
            <w:tcW w:w="1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End of Q3</w:t>
            </w: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End of Q4</w:t>
            </w:r>
          </w:p>
        </w:tc>
      </w:tr>
      <w:tr>
        <w:trPr>
          <w:trHeight w:val="282"/>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Fiscal 2025</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Tommy Bahama</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Full-price retail store</w:t>
            </w:r>
          </w:p>
        </w:tc>
        <w:tc>
          <w:tcPr>
            <w:tcW w:w="124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6"/>
              </w:rPr>
              <w:t>103</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rPr>
              <w:t>103</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6"/>
              </w:rPr>
              <w:t>104</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rPr>
              <w:t>102</w:t>
            </w: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Retail-food and beverage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26</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9"/>
              </w:rPr>
              <w:t>26</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0"/>
              </w:rPr>
              <w:t>28</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28</w:t>
            </w:r>
          </w:p>
        </w:tc>
      </w:tr>
      <w:tr>
        <w:trPr>
          <w:trHeight w:val="306"/>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Outlet</w:t>
            </w:r>
          </w:p>
        </w:tc>
        <w:tc>
          <w:tcPr>
            <w:tcW w:w="124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36</w:t>
            </w:r>
          </w:p>
        </w:tc>
        <w:tc>
          <w:tcPr>
            <w:tcW w:w="17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9"/>
              </w:rPr>
              <w:t>38</w:t>
            </w:r>
          </w:p>
        </w:tc>
        <w:tc>
          <w:tcPr>
            <w:tcW w:w="1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0"/>
              </w:rPr>
              <w:t>38</w:t>
            </w: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9"/>
              </w:rPr>
              <w:t>37</w:t>
            </w:r>
          </w:p>
        </w:tc>
      </w:tr>
      <w:tr>
        <w:trPr>
          <w:trHeight w:val="286"/>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Tommy Bahama</w:t>
            </w:r>
          </w:p>
        </w:tc>
        <w:tc>
          <w:tcPr>
            <w:tcW w:w="124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6"/>
              </w:rPr>
              <w:t>165</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rPr>
              <w:t>167</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6"/>
              </w:rPr>
              <w:t>170</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rPr>
              <w:t>167</w:t>
            </w:r>
          </w:p>
        </w:tc>
      </w:tr>
      <w:tr>
        <w:trPr>
          <w:trHeight w:val="293"/>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Lilly Pulitzer 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65</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9"/>
              </w:rPr>
              <w:t>66</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0"/>
              </w:rPr>
              <w:t>66</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67</w:t>
            </w:r>
          </w:p>
        </w:tc>
      </w:tr>
      <w:tr>
        <w:trPr>
          <w:trHeight w:val="297"/>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Johnny Was</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77</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9"/>
              </w:rPr>
              <w:t>75</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0"/>
              </w:rPr>
              <w:t>75</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75</w:t>
            </w:r>
          </w:p>
        </w:tc>
      </w:tr>
      <w:tr>
        <w:trPr>
          <w:trHeight w:val="306"/>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Outlet</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rPr>
              <w:t>3</w:t>
            </w:r>
          </w:p>
        </w:tc>
        <w:tc>
          <w:tcPr>
            <w:tcW w:w="17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0"/>
              </w:rPr>
              <w:t>3</w:t>
            </w:r>
          </w:p>
        </w:tc>
        <w:tc>
          <w:tcPr>
            <w:tcW w:w="1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rPr>
              <w:t>3</w:t>
            </w: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0"/>
              </w:rPr>
              <w:t>3</w:t>
            </w:r>
          </w:p>
        </w:tc>
      </w:tr>
      <w:tr>
        <w:trPr>
          <w:trHeight w:val="286"/>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Johnny Was</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80</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9"/>
              </w:rPr>
              <w:t>78</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0"/>
              </w:rPr>
              <w:t>78</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78</w:t>
            </w:r>
          </w:p>
        </w:tc>
      </w:tr>
      <w:tr>
        <w:trPr>
          <w:trHeight w:val="293"/>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Emerging Brands</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Southern Tide 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35</w:t>
            </w:r>
          </w:p>
        </w:tc>
        <w:tc>
          <w:tcPr>
            <w:tcW w:w="170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9"/>
              </w:rPr>
              <w:t>36</w:t>
            </w: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0"/>
              </w:rPr>
              <w:t>35</w:t>
            </w: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34</w:t>
            </w:r>
          </w:p>
        </w:tc>
      </w:tr>
      <w:tr>
        <w:trPr>
          <w:trHeight w:val="306"/>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TBBC full-price retail store</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rPr>
              <w:t>8</w:t>
            </w:r>
          </w:p>
        </w:tc>
        <w:tc>
          <w:tcPr>
            <w:tcW w:w="17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0"/>
              </w:rPr>
              <w:t>9</w:t>
            </w:r>
          </w:p>
        </w:tc>
        <w:tc>
          <w:tcPr>
            <w:tcW w:w="1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rPr>
              <w:t>9</w:t>
            </w: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0"/>
              </w:rPr>
              <w:t>9</w:t>
            </w:r>
          </w:p>
        </w:tc>
      </w:tr>
      <w:tr>
        <w:trPr>
          <w:trHeight w:val="292"/>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Total Oxford</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6"/>
              </w:rPr>
              <w:t>353</w:t>
            </w:r>
          </w:p>
        </w:tc>
        <w:tc>
          <w:tcPr>
            <w:tcW w:w="17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rPr>
              <w:t>356</w:t>
            </w:r>
          </w:p>
        </w:tc>
        <w:tc>
          <w:tcPr>
            <w:tcW w:w="1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6"/>
              </w:rPr>
              <w:t>358</w:t>
            </w: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rPr>
              <w:t>355</w:t>
            </w:r>
          </w:p>
        </w:tc>
      </w:tr>
      <w:tr>
        <w:trPr>
          <w:trHeight w:val="26"/>
        </w:trPr>
        <w:tc>
          <w:tcPr>
            <w:tcW w:w="3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73"/>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Fiscal 2026</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Tommy Bahama</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Full-price retail store</w:t>
            </w:r>
          </w:p>
        </w:tc>
        <w:tc>
          <w:tcPr>
            <w:tcW w:w="124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6"/>
              </w:rPr>
              <w:t>102</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Retail-food and beverage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28</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Outlet</w:t>
            </w:r>
          </w:p>
        </w:tc>
        <w:tc>
          <w:tcPr>
            <w:tcW w:w="124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38</w:t>
            </w: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86"/>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Tommy Bahama</w:t>
            </w:r>
          </w:p>
        </w:tc>
        <w:tc>
          <w:tcPr>
            <w:tcW w:w="124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6"/>
              </w:rPr>
              <w:t>168</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3"/>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Lilly Pulitzer 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69</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Johnny Was</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70</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5"/>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Outlet</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rPr>
              <w:t>3</w:t>
            </w: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86"/>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Johnny Was</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73</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3"/>
        </w:trPr>
        <w:tc>
          <w:tcPr>
            <w:tcW w:w="3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Emerging Brands</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3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Southern Tide full-price retail store</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33</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TBBC full-price retail store</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rPr>
              <w:t>8</w:t>
            </w: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92"/>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Total Oxford</w:t>
            </w:r>
          </w:p>
        </w:tc>
        <w:tc>
          <w:tcPr>
            <w:tcW w:w="12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color w:val="auto"/>
                <w:w w:val="96"/>
              </w:rPr>
              <w:t>351</w:t>
            </w: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
        </w:trPr>
        <w:tc>
          <w:tcPr>
            <w:tcW w:w="3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139"/>
      </w:cols>
      <w:pgMar w:left="320" w:top="7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2026-06-10T15:13:41Z</dcterms:created>
  <dcterms:modified xsi:type="dcterms:W3CDTF">2026-06-10T15:13:41Z</dcterms:modified>
</cp:coreProperties>
</file>