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415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415915"/>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Palakshappa Suraj A</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999 PEACHTREE ST NE</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STE 688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OXFORD INDUSTRIES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OXM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05/29/2026</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1434"/>
        <w:spacing w:after="0"/>
        <w:rPr>
          <w:sz w:val="20"/>
          <w:szCs w:val="20"/>
          <w:color w:val="auto"/>
        </w:rPr>
      </w:pPr>
      <w:r>
        <w:rPr>
          <w:rFonts w:ascii="Times New Roman" w:cs="Times New Roman" w:eastAsia="Times New Roman" w:hAnsi="Times New Roman"/>
          <w:sz w:val="17"/>
          <w:szCs w:val="17"/>
          <w:color w:val="0000FF"/>
        </w:rPr>
        <w:t>SVP</w:t>
      </w:r>
    </w:p>
    <w:p>
      <w:pPr>
        <w:spacing w:after="0" w:line="402" w:lineRule="exact"/>
        <w:rPr>
          <w:sz w:val="24"/>
          <w:szCs w:val="24"/>
          <w:color w:val="auto"/>
        </w:rPr>
      </w:pPr>
    </w:p>
    <w:p>
      <w:pPr>
        <w:sectPr>
          <w:pgSz w:w="11900" w:h="16838" w:orient="portrait"/>
          <w:cols w:equalWidth="0" w:num="3">
            <w:col w:w="3180" w:space="720"/>
            <w:col w:w="3220" w:space="606"/>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680" w:type="dxa"/>
            <w:vAlign w:val="bottom"/>
            <w:gridSpan w:val="8"/>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9"/>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ATLANTA</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GA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30309</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1660" w:type="dxa"/>
            <w:vAlign w:val="bottom"/>
            <w:tcBorders>
              <w:bottom w:val="single" w:sz="8" w:color="2C2C2C"/>
            </w:tcBorders>
            <w:gridSpan w:val="5"/>
          </w:tcPr>
          <w:p>
            <w:pPr>
              <w:spacing w:after="0"/>
              <w:rPr>
                <w:sz w:val="10"/>
                <w:szCs w:val="10"/>
                <w:color w:val="auto"/>
              </w:rPr>
            </w:pPr>
          </w:p>
        </w:tc>
        <w:tc>
          <w:tcPr>
            <w:tcW w:w="2600" w:type="dxa"/>
            <w:vAlign w:val="bottom"/>
            <w:tcBorders>
              <w:bottom w:val="single" w:sz="8" w:color="2C2C2C"/>
            </w:tcBorders>
            <w:gridSpan w:val="5"/>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5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300" w:type="dxa"/>
            <w:vAlign w:val="bottom"/>
          </w:tcPr>
          <w:p>
            <w:pPr>
              <w:spacing w:after="0"/>
              <w:rPr>
                <w:sz w:val="14"/>
                <w:szCs w:val="14"/>
                <w:color w:val="auto"/>
              </w:rPr>
            </w:pPr>
          </w:p>
        </w:tc>
        <w:tc>
          <w:tcPr>
            <w:tcW w:w="204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680"/>
              <w:spacing w:after="0" w:line="129"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2040" w:type="dxa"/>
            <w:vAlign w:val="bottom"/>
            <w:gridSpan w:val="4"/>
          </w:tcPr>
          <w:p>
            <w:pPr>
              <w:ind w:left="12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40" w:type="dxa"/>
            <w:vAlign w:val="bottom"/>
            <w:gridSpan w:val="3"/>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8)</w:t>
            </w: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3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ind w:left="780"/>
              <w:spacing w:after="0"/>
              <w:rPr>
                <w:sz w:val="20"/>
                <w:szCs w:val="20"/>
                <w:color w:val="auto"/>
              </w:rPr>
            </w:pPr>
            <w:r>
              <w:rPr>
                <w:rFonts w:ascii="Times New Roman" w:cs="Times New Roman" w:eastAsia="Times New Roman" w:hAnsi="Times New Roman"/>
                <w:sz w:val="17"/>
                <w:szCs w:val="17"/>
                <w:color w:val="0000FF"/>
              </w:rPr>
              <w:t>03/31/2026</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A</w:t>
            </w:r>
          </w:p>
        </w:tc>
        <w:tc>
          <w:tcPr>
            <w:tcW w:w="3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V</w:t>
            </w:r>
          </w:p>
        </w:tc>
        <w:tc>
          <w:tcPr>
            <w:tcW w:w="720" w:type="dxa"/>
            <w:vAlign w:val="bottom"/>
            <w:tcBorders>
              <w:bottom w:val="single" w:sz="8" w:color="2C2C2C"/>
            </w:tcBorders>
          </w:tcPr>
          <w:p>
            <w:pPr>
              <w:jc w:val="center"/>
              <w:ind w:left="117"/>
              <w:spacing w:after="0"/>
              <w:rPr>
                <w:sz w:val="20"/>
                <w:szCs w:val="20"/>
                <w:color w:val="auto"/>
              </w:rPr>
            </w:pPr>
            <w:r>
              <w:rPr>
                <w:rFonts w:ascii="Times New Roman" w:cs="Times New Roman" w:eastAsia="Times New Roman" w:hAnsi="Times New Roman"/>
                <w:sz w:val="17"/>
                <w:szCs w:val="17"/>
                <w:color w:val="0000FF"/>
                <w:w w:val="90"/>
              </w:rPr>
              <w:t>347</w:t>
            </w:r>
            <w:r>
              <w:rPr>
                <w:rFonts w:ascii="Times New Roman" w:cs="Times New Roman" w:eastAsia="Times New Roman" w:hAnsi="Times New Roman"/>
                <w:sz w:val="21"/>
                <w:szCs w:val="21"/>
                <w:color w:val="008000"/>
                <w:w w:val="90"/>
                <w:vertAlign w:val="superscript"/>
              </w:rPr>
              <w:t>(1)</w:t>
            </w:r>
          </w:p>
        </w:tc>
        <w:tc>
          <w:tcPr>
            <w:tcW w:w="6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32.734</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14,769</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ind w:left="780"/>
              <w:spacing w:after="0"/>
              <w:rPr>
                <w:sz w:val="20"/>
                <w:szCs w:val="20"/>
                <w:color w:val="auto"/>
              </w:rPr>
            </w:pPr>
            <w:r>
              <w:rPr>
                <w:rFonts w:ascii="Times New Roman" w:cs="Times New Roman" w:eastAsia="Times New Roman" w:hAnsi="Times New Roman"/>
                <w:sz w:val="17"/>
                <w:szCs w:val="17"/>
                <w:color w:val="0000FF"/>
              </w:rPr>
              <w:t>05/29/2026</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w w:val="86"/>
              </w:rPr>
              <w:t>M</w:t>
            </w:r>
          </w:p>
        </w:tc>
        <w:tc>
          <w:tcPr>
            <w:tcW w:w="3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left="117"/>
              <w:spacing w:after="0"/>
              <w:rPr>
                <w:sz w:val="20"/>
                <w:szCs w:val="20"/>
                <w:color w:val="auto"/>
              </w:rPr>
            </w:pPr>
            <w:r>
              <w:rPr>
                <w:rFonts w:ascii="Times New Roman" w:cs="Times New Roman" w:eastAsia="Times New Roman" w:hAnsi="Times New Roman"/>
                <w:sz w:val="17"/>
                <w:szCs w:val="17"/>
                <w:color w:val="0000FF"/>
                <w:w w:val="91"/>
              </w:rPr>
              <w:t>2,000</w:t>
            </w:r>
            <w:r>
              <w:rPr>
                <w:rFonts w:ascii="Times New Roman" w:cs="Times New Roman" w:eastAsia="Times New Roman" w:hAnsi="Times New Roman"/>
                <w:sz w:val="21"/>
                <w:szCs w:val="21"/>
                <w:color w:val="008000"/>
                <w:w w:val="91"/>
                <w:vertAlign w:val="superscript"/>
              </w:rPr>
              <w:t>(2)</w:t>
            </w:r>
          </w:p>
        </w:tc>
        <w:tc>
          <w:tcPr>
            <w:tcW w:w="6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152"/>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16,769</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ind w:left="780"/>
              <w:spacing w:after="0"/>
              <w:rPr>
                <w:sz w:val="20"/>
                <w:szCs w:val="20"/>
                <w:color w:val="auto"/>
              </w:rPr>
            </w:pPr>
            <w:r>
              <w:rPr>
                <w:rFonts w:ascii="Times New Roman" w:cs="Times New Roman" w:eastAsia="Times New Roman" w:hAnsi="Times New Roman"/>
                <w:sz w:val="17"/>
                <w:szCs w:val="17"/>
                <w:color w:val="0000FF"/>
              </w:rPr>
              <w:t>05/29/2026</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w w:val="82"/>
              </w:rPr>
              <w:t>F</w:t>
            </w:r>
          </w:p>
        </w:tc>
        <w:tc>
          <w:tcPr>
            <w:tcW w:w="3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left="117"/>
              <w:spacing w:after="0" w:line="312" w:lineRule="exact"/>
              <w:rPr>
                <w:sz w:val="20"/>
                <w:szCs w:val="20"/>
                <w:color w:val="auto"/>
              </w:rPr>
            </w:pPr>
            <w:r>
              <w:rPr>
                <w:rFonts w:ascii="Times New Roman" w:cs="Times New Roman" w:eastAsia="Times New Roman" w:hAnsi="Times New Roman"/>
                <w:sz w:val="33"/>
                <w:szCs w:val="33"/>
                <w:color w:val="0000FF"/>
                <w:w w:val="82"/>
                <w:vertAlign w:val="subscript"/>
              </w:rPr>
              <w:t>851</w:t>
            </w:r>
            <w:r>
              <w:rPr>
                <w:rFonts w:ascii="Times New Roman" w:cs="Times New Roman" w:eastAsia="Times New Roman" w:hAnsi="Times New Roman"/>
                <w:sz w:val="11"/>
                <w:szCs w:val="11"/>
                <w:color w:val="008000"/>
                <w:w w:val="82"/>
              </w:rPr>
              <w:t>(3)</w:t>
            </w:r>
          </w:p>
        </w:tc>
        <w:tc>
          <w:tcPr>
            <w:tcW w:w="6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44.62</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15,918</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80" w:type="dxa"/>
            <w:vAlign w:val="bottom"/>
            <w:gridSpan w:val="12"/>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300" w:type="dxa"/>
            <w:vAlign w:val="bottom"/>
          </w:tcPr>
          <w:p>
            <w:pPr>
              <w:spacing w:after="0"/>
              <w:rPr>
                <w:sz w:val="15"/>
                <w:szCs w:val="15"/>
                <w:color w:val="auto"/>
              </w:rPr>
            </w:pPr>
          </w:p>
        </w:tc>
        <w:tc>
          <w:tcPr>
            <w:tcW w:w="72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(5)</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2,000</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05/29/2026</w:t>
            </w: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5"/>
                <w:szCs w:val="5"/>
                <w:color w:val="auto"/>
              </w:rPr>
            </w:pPr>
          </w:p>
        </w:tc>
        <w:tc>
          <w:tcPr>
            <w:tcW w:w="80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2,000</w:t>
            </w:r>
          </w:p>
        </w:tc>
        <w:tc>
          <w:tcPr>
            <w:tcW w:w="5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20"/>
              <w:spacing w:after="0" w:line="143" w:lineRule="exact"/>
              <w:rPr>
                <w:sz w:val="20"/>
                <w:szCs w:val="20"/>
                <w:color w:val="auto"/>
              </w:rPr>
            </w:pPr>
            <w:r>
              <w:rPr>
                <w:rFonts w:ascii="Times New Roman" w:cs="Times New Roman" w:eastAsia="Times New Roman" w:hAnsi="Times New Roman"/>
                <w:sz w:val="13"/>
                <w:szCs w:val="13"/>
                <w:color w:val="0000FF"/>
              </w:rPr>
              <w:t>11,200</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Purchase of shares under the Oxford Industries, Inc. Employee Stock Purchase Plan at a 15% discount on the closing market price on the last day of the purchase period.</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issued upon vesting of restricted share units granted by the Issuer pursuant to the Oxford Industries, Inc. Long-Term Stock Incentive Plan.</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Issuer to satisfy tax withholding obligations upon vesting of restricted share units.</w:t>
      </w:r>
    </w:p>
    <w:p>
      <w:pPr>
        <w:spacing w:after="0" w:line="45" w:lineRule="exact"/>
        <w:rPr>
          <w:rFonts w:ascii="Times New Roman" w:cs="Times New Roman" w:eastAsia="Times New Roman" w:hAnsi="Times New Roman"/>
          <w:sz w:val="13"/>
          <w:szCs w:val="13"/>
          <w:color w:val="008000"/>
        </w:rPr>
      </w:pPr>
    </w:p>
    <w:p>
      <w:pPr>
        <w:ind w:left="40" w:right="32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the Issuer's common stock. The restricted stock units were granted by the Issuer pursuant to the Oxford Industries, Inc. Long-Term Stock Incentive Plan.</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vested on May 29, 2026.</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Jonathan O. Leptich,</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06/02/2026</w:t>
            </w:r>
          </w:p>
        </w:tc>
        <w:tc>
          <w:tcPr>
            <w:tcW w:w="0" w:type="dxa"/>
            <w:vAlign w:val="bottom"/>
          </w:tcPr>
          <w:p>
            <w:pPr>
              <w:spacing w:after="0"/>
              <w:rPr>
                <w:sz w:val="1"/>
                <w:szCs w:val="1"/>
                <w:color w:val="auto"/>
              </w:rPr>
            </w:pPr>
          </w:p>
        </w:tc>
      </w:tr>
      <w:tr>
        <w:trPr>
          <w:trHeight w:val="89"/>
        </w:trPr>
        <w:tc>
          <w:tcPr>
            <w:tcW w:w="1140" w:type="dxa"/>
            <w:vAlign w:val="bottom"/>
            <w:tcBorders>
              <w:top w:val="single" w:sz="8" w:color="auto"/>
              <w:bottom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460" w:type="dxa"/>
            <w:vAlign w:val="bottom"/>
            <w:tcBorders>
              <w:top w:val="single" w:sz="8" w:color="auto"/>
              <w:bottom w:val="single" w:sz="8" w:color="auto"/>
            </w:tcBorders>
            <w:vMerge w:val="restart"/>
          </w:tcPr>
          <w:p>
            <w:pPr>
              <w:spacing w:after="0"/>
              <w:rPr>
                <w:sz w:val="7"/>
                <w:szCs w:val="7"/>
                <w:color w:val="auto"/>
              </w:rPr>
            </w:pPr>
          </w:p>
        </w:tc>
        <w:tc>
          <w:tcPr>
            <w:tcW w:w="60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140" w:type="dxa"/>
            <w:vAlign w:val="bottom"/>
            <w:tcBorders>
              <w:bottom w:val="single" w:sz="8" w:color="auto"/>
            </w:tcBorders>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9"/>
          <w:szCs w:val="19"/>
          <w:u w:val="single" w:color="auto"/>
          <w:color w:val="auto"/>
        </w:rPr>
        <w:t>POWER OF ATTORNEY</w:t>
      </w:r>
    </w:p>
    <w:p>
      <w:pPr>
        <w:spacing w:after="0" w:line="250"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19"/>
          <w:szCs w:val="19"/>
          <w:color w:val="auto"/>
        </w:rPr>
        <w:t>The undersigned, as Senior Vice President, Finance &amp; Legal of Oxford Industries, Inc. (the “Company”), does hereby constitute and appoint each of Jonathan O. Leptich, Mary Margaret Heaton and Caroline G. Wood, or any one of them, my true and lawful attorney-in-fact, with full power and authority as hereinafter described, to:</w:t>
      </w:r>
    </w:p>
    <w:p>
      <w:pPr>
        <w:spacing w:after="0" w:line="181" w:lineRule="exact"/>
        <w:rPr>
          <w:sz w:val="20"/>
          <w:szCs w:val="20"/>
          <w:color w:val="auto"/>
        </w:rPr>
      </w:pPr>
    </w:p>
    <w:p>
      <w:pPr>
        <w:jc w:val="both"/>
        <w:ind w:left="620" w:right="20" w:hanging="304"/>
        <w:spacing w:after="0" w:line="263" w:lineRule="auto"/>
        <w:tabs>
          <w:tab w:leader="none" w:pos="608"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prepare, execute, acknowledge, deliver and file Forms 4 and 5 (including any amendments thereto) with respect to the securities of the Company with the U.S. Securities and Exchange Commission, any national securities exchanges and the Company, as considered necessary or advisable under Section 16(a) of the Securities Exchange Act of 1934 and the rules and regulations promulgated thereunder, as amended from time to time (the “Act”); and</w:t>
      </w:r>
    </w:p>
    <w:p>
      <w:pPr>
        <w:spacing w:after="0" w:line="199" w:lineRule="exact"/>
        <w:rPr>
          <w:rFonts w:ascii="Times New Roman" w:cs="Times New Roman" w:eastAsia="Times New Roman" w:hAnsi="Times New Roman"/>
          <w:sz w:val="19"/>
          <w:szCs w:val="19"/>
          <w:color w:val="auto"/>
        </w:rPr>
      </w:pPr>
    </w:p>
    <w:p>
      <w:pPr>
        <w:ind w:left="620" w:right="20" w:hanging="304"/>
        <w:spacing w:after="0" w:line="277" w:lineRule="auto"/>
        <w:tabs>
          <w:tab w:leader="none" w:pos="608"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perform any and all other acts which in the discretion of such attorney-in-fact are necessary or desirable for and on behalf of the undersigned in connection with the foregoing.</w:t>
      </w:r>
    </w:p>
    <w:p>
      <w:pPr>
        <w:spacing w:after="0" w:line="185" w:lineRule="exact"/>
        <w:rPr>
          <w:sz w:val="20"/>
          <w:szCs w:val="20"/>
          <w:color w:val="auto"/>
        </w:rPr>
      </w:pPr>
    </w:p>
    <w:p>
      <w:pPr>
        <w:jc w:val="both"/>
        <w:ind w:firstLine="624"/>
        <w:spacing w:after="0" w:line="258" w:lineRule="auto"/>
        <w:rPr>
          <w:sz w:val="20"/>
          <w:szCs w:val="20"/>
          <w:color w:val="auto"/>
        </w:rPr>
      </w:pPr>
      <w:r>
        <w:rPr>
          <w:rFonts w:ascii="Times New Roman" w:cs="Times New Roman" w:eastAsia="Times New Roman" w:hAnsi="Times New Roman"/>
          <w:sz w:val="19"/>
          <w:szCs w:val="19"/>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confirming all that such attorney-in-fact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Act.</w:t>
      </w:r>
    </w:p>
    <w:p>
      <w:pPr>
        <w:spacing w:after="0" w:line="204" w:lineRule="exact"/>
        <w:rPr>
          <w:sz w:val="20"/>
          <w:szCs w:val="20"/>
          <w:color w:val="auto"/>
        </w:rPr>
      </w:pPr>
    </w:p>
    <w:p>
      <w:pPr>
        <w:jc w:val="both"/>
        <w:ind w:right="20" w:firstLine="624"/>
        <w:spacing w:after="0" w:line="266" w:lineRule="auto"/>
        <w:rPr>
          <w:sz w:val="20"/>
          <w:szCs w:val="20"/>
          <w:color w:val="auto"/>
        </w:rPr>
      </w:pPr>
      <w:r>
        <w:rPr>
          <w:rFonts w:ascii="Times New Roman" w:cs="Times New Roman" w:eastAsia="Times New Roman" w:hAnsi="Times New Roman"/>
          <w:sz w:val="19"/>
          <w:szCs w:val="19"/>
          <w:color w:val="auto"/>
        </w:rPr>
        <w:t>This Power of Attorney shall remain in full force and effect until the undersigned is no longer required to file Forms 4, and 5 with respect to the undersigned’s holdings of and transactions in securities issued by the Company, unless earlier revoked by the undersigned in a signed writing delivered to the foregoing attorneys-in-fact.</w:t>
      </w:r>
    </w:p>
    <w:p>
      <w:pPr>
        <w:spacing w:after="0" w:line="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9"/>
          <w:szCs w:val="19"/>
          <w:u w:val="single" w:color="auto"/>
          <w:color w:val="auto"/>
        </w:rPr>
        <w:t>/s/ Suraj A. Palakshappa</w:t>
      </w:r>
    </w:p>
    <w:p>
      <w:pPr>
        <w:spacing w:after="0" w:line="3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9"/>
          <w:szCs w:val="19"/>
          <w:color w:val="auto"/>
        </w:rPr>
        <w:t>Suraj A. Palakshappa</w:t>
      </w:r>
    </w:p>
    <w:p>
      <w:pPr>
        <w:spacing w:after="0" w:line="28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9"/>
          <w:szCs w:val="19"/>
          <w:color w:val="auto"/>
        </w:rPr>
        <w:t xml:space="preserve">Date: </w:t>
      </w:r>
      <w:r>
        <w:rPr>
          <w:rFonts w:ascii="Times New Roman" w:cs="Times New Roman" w:eastAsia="Times New Roman" w:hAnsi="Times New Roman"/>
          <w:sz w:val="19"/>
          <w:szCs w:val="19"/>
          <w:u w:val="single" w:color="auto"/>
          <w:color w:val="auto"/>
        </w:rPr>
        <w:t>May 21, 2026</w:t>
      </w:r>
    </w:p>
    <w:sectPr>
      <w:pgSz w:w="11900" w:h="16838" w:orient="portrait"/>
      <w:cols w:equalWidth="0" w:num="1">
        <w:col w:w="10980"/>
      </w:cols>
      <w:pgMar w:left="460" w:top="1365"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2574" TargetMode="External"/><Relationship Id="rId14" Type="http://schemas.openxmlformats.org/officeDocument/2006/relationships/hyperlink" Target="http://www.sec.gov/cgi-bin/browse-edgar?action=getcompany&amp;CIK=00000752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2026-06-02T15:35:16Z</dcterms:created>
  <dcterms:modified xsi:type="dcterms:W3CDTF">2026-06-02T15:35:16Z</dcterms:modified>
</cp:coreProperties>
</file>