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5"/>
        </w:rPr>
      </w:pPr>
      <w:r>
        <w:rPr>
          <w:rFonts w:ascii="Times New Roman;serif" w:hAnsi="Times New Roman;serif"/>
          <w:b/>
          <w:color w:val="000000"/>
          <w:sz w:val="25"/>
        </w:rPr>
        <w:t>UNITED STATES</w:t>
      </w:r>
    </w:p>
    <w:p>
      <w:pPr>
        <w:pStyle w:val="TextBody"/>
        <w:bidi w:val="0"/>
        <w:spacing w:lineRule="auto" w:line="268" w:before="0" w:after="0"/>
        <w:jc w:val="center"/>
        <w:rPr>
          <w:rFonts w:ascii="Times New Roman;serif" w:hAnsi="Times New Roman;serif"/>
          <w:b/>
          <w:color w:val="000000"/>
          <w:sz w:val="25"/>
        </w:rPr>
      </w:pPr>
      <w:r>
        <w:rPr>
          <w:rFonts w:ascii="Times New Roman;serif" w:hAnsi="Times New Roman;serif"/>
          <w:b/>
          <w:color w:val="000000"/>
          <w:sz w:val="25"/>
        </w:rPr>
        <w:t>SECURITIES AND EXCHANGE COMMISSION</w:t>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REGISTRATION STATEMENT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UNDER THE SECURITIES ACT OF 1933</w:t>
      </w:r>
    </w:p>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Oxford Industries, Inc.</w:t>
      </w:r>
    </w:p>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w:t>
      </w:r>
    </w:p>
    <w:tbl>
      <w:tblPr>
        <w:tblW w:w="7034" w:type="dxa"/>
        <w:jc w:val="left"/>
        <w:tblInd w:w="0" w:type="dxa"/>
        <w:tblLayout w:type="fixed"/>
        <w:tblCellMar>
          <w:top w:w="28" w:type="dxa"/>
          <w:left w:w="28" w:type="dxa"/>
          <w:bottom w:w="28" w:type="dxa"/>
          <w:right w:w="28" w:type="dxa"/>
        </w:tblCellMar>
      </w:tblPr>
      <w:tblGrid>
        <w:gridCol w:w="1560"/>
        <w:gridCol w:w="1370"/>
        <w:gridCol w:w="1390"/>
        <w:gridCol w:w="793"/>
        <w:gridCol w:w="793"/>
        <w:gridCol w:w="1128"/>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Georgia</w:t>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58</w:t>
              <w:noBreakHyphen/>
              <w:t>0831862</w:t>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tbl>
      <w:tblPr>
        <w:tblW w:w="6359" w:type="dxa"/>
        <w:jc w:val="left"/>
        <w:tblInd w:w="0" w:type="dxa"/>
        <w:tblLayout w:type="fixed"/>
        <w:tblCellMar>
          <w:top w:w="28" w:type="dxa"/>
          <w:left w:w="28" w:type="dxa"/>
          <w:bottom w:w="28" w:type="dxa"/>
          <w:right w:w="28" w:type="dxa"/>
        </w:tblCellMar>
      </w:tblPr>
      <w:tblGrid>
        <w:gridCol w:w="2032"/>
        <w:gridCol w:w="1785"/>
        <w:gridCol w:w="2542"/>
      </w:tblGrid>
      <w:tr>
        <w:trPr/>
        <w:tc>
          <w:tcPr>
            <w:tcW w:w="203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999 Peachtree Street NE, Suite 1225</w:t>
            </w:r>
          </w:p>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Atlanta, GA 30309</w:t>
            </w:r>
          </w:p>
        </w:tc>
      </w:tr>
      <w:tr>
        <w:trPr/>
        <w:tc>
          <w:tcPr>
            <w:tcW w:w="63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Offices)(Zip Code)</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Oxford Industries, Inc. Amended and Restated Long-Term Stock Incentive Plan</w:t>
            </w:r>
          </w:p>
        </w:tc>
      </w:tr>
      <w:tr>
        <w:trPr/>
        <w:tc>
          <w:tcPr>
            <w:tcW w:w="63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(Full title of the plan)</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Suraj A. Palakshappa</w:t>
            </w:r>
          </w:p>
        </w:tc>
      </w:tr>
      <w:tr>
        <w:trPr/>
        <w:tc>
          <w:tcPr>
            <w:tcW w:w="63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Senior Vice President, Finance &amp; Legal</w:t>
            </w:r>
          </w:p>
        </w:tc>
      </w:tr>
      <w:tr>
        <w:trPr/>
        <w:tc>
          <w:tcPr>
            <w:tcW w:w="63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999 Peachtree Street NE, Suite 1225</w:t>
            </w:r>
          </w:p>
        </w:tc>
      </w:tr>
      <w:tr>
        <w:trPr/>
        <w:tc>
          <w:tcPr>
            <w:tcW w:w="63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Atlanta, Georgia 30309</w:t>
            </w:r>
          </w:p>
        </w:tc>
      </w:tr>
      <w:tr>
        <w:trPr/>
        <w:tc>
          <w:tcPr>
            <w:tcW w:w="63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(Name and address of agent for service)</w:t>
            </w:r>
          </w:p>
        </w:tc>
      </w:tr>
      <w:tr>
        <w:trPr/>
        <w:tc>
          <w:tcPr>
            <w:tcW w:w="63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(404) 659-2424</w:t>
            </w:r>
          </w:p>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(Telephone number, including area code, of agent for service)</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8"/>
        </w:rPr>
        <w:t>Large accelerated filer</w:t>
      </w:r>
      <w:r>
        <w:rPr>
          <w:color w:val="000000"/>
        </w:rPr>
        <w:t xml:space="preserve"> </w:t>
      </w:r>
      <w:r>
        <w:rPr>
          <w:rFonts w:ascii="Wingdings;sans-serif" w:hAnsi="Wingdings;sans-serif"/>
          <w:b w:val="false"/>
          <w:color w:val="000000"/>
          <w:sz w:val="24"/>
        </w:rPr>
        <w:t>o</w:t>
      </w:r>
      <w:r>
        <w:rPr>
          <w:color w:val="000000"/>
        </w:rPr>
        <w:t xml:space="preserve"> </w:t>
      </w:r>
      <w:r>
        <w:rPr>
          <w:rFonts w:ascii="Times New Roman;serif" w:hAnsi="Times New Roman;serif"/>
          <w:b w:val="false"/>
          <w:color w:val="000000"/>
          <w:sz w:val="18"/>
        </w:rPr>
        <w:t>Accelerated filer</w:t>
      </w:r>
      <w:r>
        <w:rPr>
          <w:color w:val="000000"/>
        </w:rPr>
        <w:t xml:space="preserve"> </w:t>
      </w:r>
      <w:r>
        <w:rPr>
          <w:rFonts w:ascii="Wingdings;sans-serif" w:hAnsi="Wingdings;sans-serif"/>
          <w:b w:val="false"/>
          <w:color w:val="000000"/>
          <w:sz w:val="24"/>
        </w:rPr>
        <w:t>x</w:t>
      </w:r>
    </w:p>
    <w:p>
      <w:pPr>
        <w:pStyle w:val="TextBody"/>
        <w:bidi w:val="0"/>
        <w:spacing w:lineRule="auto" w:line="268" w:before="0" w:after="0"/>
        <w:jc w:val="left"/>
        <w:rPr/>
      </w:pPr>
      <w:r>
        <w:rPr>
          <w:rFonts w:ascii="Times New Roman;serif" w:hAnsi="Times New Roman;serif"/>
          <w:b w:val="false"/>
          <w:color w:val="000000"/>
          <w:sz w:val="18"/>
        </w:rPr>
        <w:t>Non-accelerated filer</w:t>
      </w:r>
      <w:r>
        <w:rPr>
          <w:color w:val="000000"/>
        </w:rPr>
        <w:t xml:space="preserve"> </w:t>
      </w:r>
      <w:r>
        <w:rPr>
          <w:rFonts w:ascii="Wingdings;sans-serif" w:hAnsi="Wingdings;sans-serif"/>
          <w:b w:val="false"/>
          <w:color w:val="000000"/>
          <w:sz w:val="24"/>
        </w:rPr>
        <w:t xml:space="preserve">o </w:t>
      </w:r>
      <w:r>
        <w:rPr>
          <w:rFonts w:ascii="Times New Roman;serif" w:hAnsi="Times New Roman;serif"/>
          <w:b w:val="false"/>
          <w:color w:val="000000"/>
          <w:sz w:val="18"/>
        </w:rPr>
        <w:t>Smaller reporting company</w:t>
      </w:r>
      <w:r>
        <w:rPr>
          <w:color w:val="000000"/>
        </w:rPr>
        <w:t xml:space="preserve"> </w:t>
      </w:r>
      <w:r>
        <w:rPr>
          <w:rFonts w:ascii="Wingdings;sans-serif" w:hAnsi="Wingdings;sans-serif"/>
          <w:b w:val="false"/>
          <w:color w:val="000000"/>
          <w:sz w:val="24"/>
        </w:rPr>
        <w:t xml:space="preserve">o </w:t>
      </w:r>
      <w:r>
        <w:rPr>
          <w:rFonts w:ascii="Times New Roman;serif" w:hAnsi="Times New Roman;serif"/>
          <w:b w:val="false"/>
          <w:color w:val="000000"/>
          <w:sz w:val="18"/>
        </w:rPr>
        <w:t>Emerging growth company</w:t>
      </w:r>
      <w:r>
        <w:rPr>
          <w:color w:val="000000"/>
        </w:rPr>
        <w:t xml:space="preserve"> </w:t>
      </w:r>
      <w:r>
        <w:rPr>
          <w:rFonts w:ascii="Wingdings;sans-serif" w:hAnsi="Wingdings;sans-serif"/>
          <w:b w:val="false"/>
          <w:color w:val="000000"/>
          <w:sz w:val="24"/>
        </w:rPr>
        <w: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EXPLANATORY NOTE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On June 23, 2026, at the 2026 Annual Meeting of Shareholders of Oxford Industries, Inc. (the “Registrant”), the shareholders of the Registrant approved an amendment to the Oxford Industries, Inc. Long-Term Stock Incentive Plan (as amended and restated, the “Plan”) to, among other things, increase the number of shares of the Registrant’s common stock par value $1.00 per share (“Common Stock”) available for issuance under the Plan by 750,000 shares. The Registrant is filing this Registration Statement on Form S-8 (this “Registration Statement”) pursuant to and in accordance with General Instruction E to Form S-8 to register such additional 750,000 shares of Common Stock to be issued to employees of the Registrant and certain subsidiaries and to directors of the Registrant pursuant to the Plan. The contents of the Registration Statements on Form S-8 filed with the Securities and Exchange Commission (the “Commission”) on December 22, 2004 (File No. 333-121538) (the “2004 Registration Statement”), </w:t>
      </w:r>
      <w:hyperlink r:id="rId2">
        <w:r>
          <w:rPr>
            <w:rStyle w:val="InternetLink"/>
            <w:rFonts w:ascii="Times New Roman;serif" w:hAnsi="Times New Roman;serif"/>
            <w:b w:val="false"/>
            <w:color w:val="0000FF"/>
            <w:sz w:val="20"/>
            <w:u w:val="single"/>
          </w:rPr>
          <w:t>September 14, 2009 (File No.</w:t>
        </w:r>
      </w:hyperlink>
      <w:hyperlink r:id="rId3">
        <w:r>
          <w:rPr>
            <w:rStyle w:val="InternetLink"/>
            <w:color w:val="0000FF"/>
            <w:u w:val="single"/>
          </w:rPr>
          <w:t xml:space="preserve"> </w:t>
        </w:r>
      </w:hyperlink>
      <w:hyperlink r:id="rId4">
        <w:r>
          <w:rPr>
            <w:rStyle w:val="InternetLink"/>
            <w:rFonts w:ascii="Times New Roman;serif" w:hAnsi="Times New Roman;serif"/>
            <w:b w:val="false"/>
            <w:color w:val="0000FF"/>
            <w:sz w:val="20"/>
            <w:u w:val="single"/>
          </w:rPr>
          <w:t>333-161902)</w:t>
        </w:r>
      </w:hyperlink>
      <w:r>
        <w:rPr>
          <w:color w:val="000000"/>
        </w:rPr>
        <w:t xml:space="preserve"> </w:t>
      </w:r>
      <w:r>
        <w:rPr>
          <w:rFonts w:ascii="Times New Roman;serif" w:hAnsi="Times New Roman;serif"/>
          <w:b w:val="false"/>
          <w:color w:val="000000"/>
          <w:sz w:val="20"/>
        </w:rPr>
        <w:t xml:space="preserve">(the “2009 Registration Statement”) and </w:t>
      </w:r>
      <w:hyperlink r:id="rId5">
        <w:r>
          <w:rPr>
            <w:rStyle w:val="InternetLink"/>
            <w:rFonts w:ascii="Times New Roman;serif" w:hAnsi="Times New Roman;serif"/>
            <w:b w:val="false"/>
            <w:color w:val="000080"/>
            <w:sz w:val="20"/>
            <w:u w:val="single"/>
          </w:rPr>
          <w:t>June 12, 202</w:t>
        </w:r>
      </w:hyperlink>
      <w:hyperlink r:id="rId6">
        <w:r>
          <w:rPr>
            <w:rStyle w:val="InternetLink"/>
            <w:rFonts w:ascii="Times New Roman;serif" w:hAnsi="Times New Roman;serif"/>
            <w:b w:val="false"/>
            <w:color w:val="000080"/>
            <w:sz w:val="20"/>
            <w:u w:val="single"/>
          </w:rPr>
          <w:t>5</w:t>
        </w:r>
      </w:hyperlink>
      <w:hyperlink r:id="rId7">
        <w:r>
          <w:rPr>
            <w:rStyle w:val="InternetLink"/>
            <w:rFonts w:ascii="Times New Roman;serif" w:hAnsi="Times New Roman;serif"/>
            <w:b w:val="false"/>
            <w:color w:val="000080"/>
            <w:sz w:val="20"/>
            <w:u w:val="single"/>
          </w:rPr>
          <w:t xml:space="preserve"> (File No. 333-287979</w:t>
        </w:r>
      </w:hyperlink>
      <w:hyperlink r:id="rId8">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(the “2025 Registration Statement”, and together with the 2004 Registration Statement and the 2009 Registration Statement, the “Prior Registration Statements”) are incorporated herein by reference, except as the same may be modified by the information set forth herein.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REQUIRED IN THE REGISTRATION STATEMENT </w:t>
      </w:r>
    </w:p>
    <w:p>
      <w:pPr>
        <w:pStyle w:val="TextBody"/>
        <w:bidi w:val="0"/>
        <w:spacing w:before="0" w:after="0"/>
        <w:jc w:val="center"/>
        <w:rPr/>
      </w:pPr>
      <w:r>
        <w:rPr/>
      </w:r>
    </w:p>
    <w:tbl>
      <w:tblPr>
        <w:tblW w:w="4423" w:type="dxa"/>
        <w:jc w:val="left"/>
        <w:tblInd w:w="0" w:type="dxa"/>
        <w:tblLayout w:type="fixed"/>
        <w:tblCellMar>
          <w:top w:w="28" w:type="dxa"/>
          <w:left w:w="28" w:type="dxa"/>
          <w:bottom w:w="28" w:type="dxa"/>
          <w:right w:w="28" w:type="dxa"/>
        </w:tblCellMar>
      </w:tblPr>
      <w:tblGrid>
        <w:gridCol w:w="255"/>
        <w:gridCol w:w="223"/>
        <w:gridCol w:w="226"/>
        <w:gridCol w:w="1087"/>
        <w:gridCol w:w="1087"/>
        <w:gridCol w:w="1545"/>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37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Incorporation of Documents by Reference.</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documents previously filed with the Commission are incorporated by reference in this Registration Statement: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Registrant’s </w:t>
      </w:r>
      <w:hyperlink r:id="rId9">
        <w:r>
          <w:rPr>
            <w:rStyle w:val="InternetLink"/>
          </w:rPr>
          <w:t>A</w:t>
        </w:r>
      </w:hyperlink>
      <w:hyperlink r:id="rId10">
        <w:r>
          <w:rPr>
            <w:rStyle w:val="InternetLink"/>
          </w:rPr>
          <w:t xml:space="preserve">nnual Report on Form 10-K for the fiscal year ended </w:t>
        </w:r>
      </w:hyperlink>
      <w:hyperlink r:id="rId11">
        <w:r>
          <w:rPr>
            <w:rStyle w:val="InternetLink"/>
          </w:rPr>
          <w:t>January 31, 2026</w:t>
        </w:r>
      </w:hyperlink>
      <w:hyperlink r:id="rId12">
        <w:r>
          <w:rPr>
            <w:rStyle w:val="InternetLink"/>
          </w:rPr>
          <w:t xml:space="preserve"> filed on March </w:t>
        </w:r>
      </w:hyperlink>
      <w:hyperlink r:id="rId13">
        <w:r>
          <w:rPr>
            <w:rStyle w:val="InternetLink"/>
          </w:rPr>
          <w:t>27</w:t>
        </w:r>
      </w:hyperlink>
      <w:hyperlink r:id="rId14">
        <w:r>
          <w:rPr>
            <w:rStyle w:val="InternetLink"/>
          </w:rPr>
          <w:t>, 202</w:t>
        </w:r>
      </w:hyperlink>
      <w:hyperlink r:id="rId15">
        <w:r>
          <w:rPr>
            <w:rStyle w:val="InternetLink"/>
          </w:rPr>
          <w:t>6</w:t>
        </w:r>
      </w:hyperlink>
      <w:r>
        <w:rPr>
          <w:color w:val="000000"/>
        </w:rPr>
        <w:t xml:space="preserve"> </w:t>
      </w:r>
      <w:r>
        <w:rPr>
          <w:rFonts w:ascii="Times New Roman;serif" w:hAnsi="Times New Roman;serif"/>
          <w:b w:val="false"/>
          <w:color w:val="000000"/>
          <w:sz w:val="20"/>
        </w:rPr>
        <w:t xml:space="preserve">(including portions of the Registrant’s Definitive Proxy Statement for the 2026 Annual Meeting of Shareholders, filed with the Commission on May 13, 2026, that are specifically incorporated therein by reference);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Registrant’s Quarterly Reports on Form 10-Q for </w:t>
      </w:r>
      <w:hyperlink r:id="rId16">
        <w:r>
          <w:rPr>
            <w:rStyle w:val="InternetLink"/>
          </w:rPr>
          <w:t xml:space="preserve">the quarterly period ended May </w:t>
        </w:r>
      </w:hyperlink>
      <w:hyperlink r:id="rId17">
        <w:r>
          <w:rPr>
            <w:rStyle w:val="InternetLink"/>
          </w:rPr>
          <w:t>2</w:t>
        </w:r>
      </w:hyperlink>
      <w:hyperlink r:id="rId18">
        <w:r>
          <w:rPr>
            <w:rStyle w:val="InternetLink"/>
          </w:rPr>
          <w:t>, 202</w:t>
        </w:r>
      </w:hyperlink>
      <w:hyperlink r:id="rId19">
        <w:r>
          <w:rPr>
            <w:rStyle w:val="InternetLink"/>
          </w:rPr>
          <w:t>6</w:t>
        </w:r>
      </w:hyperlink>
      <w:hyperlink r:id="rId20">
        <w:r>
          <w:rPr>
            <w:rStyle w:val="InternetLink"/>
          </w:rPr>
          <w:t xml:space="preserve"> filed on June 1</w:t>
        </w:r>
      </w:hyperlink>
      <w:hyperlink r:id="rId21">
        <w:r>
          <w:rPr>
            <w:rStyle w:val="InternetLink"/>
          </w:rPr>
          <w:t>1</w:t>
        </w:r>
      </w:hyperlink>
      <w:hyperlink r:id="rId22">
        <w:r>
          <w:rPr>
            <w:rStyle w:val="InternetLink"/>
          </w:rPr>
          <w:t>, 202</w:t>
        </w:r>
      </w:hyperlink>
      <w:hyperlink r:id="rId23">
        <w:r>
          <w:rPr>
            <w:rStyle w:val="InternetLink"/>
          </w:rPr>
          <w:t>6</w:t>
        </w:r>
      </w:hyperlink>
      <w:r>
        <w:rPr>
          <w:color w:val="000000"/>
        </w:rPr>
        <w:t xml:space="preserve"> </w:t>
      </w:r>
      <w:r>
        <w:rPr>
          <w:rFonts w:ascii="Times New Roman;serif" w:hAnsi="Times New Roman;serif"/>
          <w:b w:val="false"/>
          <w:color w:val="000000"/>
          <w:sz w:val="20"/>
        </w:rPr>
        <w:t xml:space="preserve">and </w:t>
      </w:r>
      <w:hyperlink r:id="rId24">
        <w:r>
          <w:rPr>
            <w:rStyle w:val="InternetLink"/>
          </w:rPr>
          <w:t xml:space="preserve">the quarterly period ended </w:t>
        </w:r>
      </w:hyperlink>
      <w:hyperlink r:id="rId25">
        <w:r>
          <w:rPr>
            <w:rStyle w:val="InternetLink"/>
          </w:rPr>
          <w:t xml:space="preserve">August 1, 2026 </w:t>
        </w:r>
      </w:hyperlink>
      <w:hyperlink r:id="rId26">
        <w:r>
          <w:rPr>
            <w:rStyle w:val="InternetLink"/>
          </w:rPr>
          <w:t xml:space="preserve">filed on September </w:t>
        </w:r>
      </w:hyperlink>
      <w:hyperlink r:id="rId27">
        <w:r>
          <w:rPr>
            <w:rStyle w:val="InternetLink"/>
          </w:rPr>
          <w:t>4</w:t>
        </w:r>
      </w:hyperlink>
      <w:hyperlink r:id="rId28">
        <w:r>
          <w:rPr>
            <w:rStyle w:val="InternetLink"/>
          </w:rPr>
          <w:t>, 2026</w:t>
        </w:r>
      </w:hyperlink>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Registrant’s Current Reports on Form 8-K filed on </w:t>
      </w:r>
      <w:hyperlink r:id="rId29">
        <w:r>
          <w:rPr>
            <w:rStyle w:val="InternetLink"/>
          </w:rPr>
          <w:t>March 2</w:t>
        </w:r>
      </w:hyperlink>
      <w:hyperlink r:id="rId30">
        <w:r>
          <w:rPr>
            <w:rStyle w:val="InternetLink"/>
          </w:rPr>
          <w:t>6</w:t>
        </w:r>
      </w:hyperlink>
      <w:hyperlink r:id="rId31">
        <w:r>
          <w:rPr>
            <w:rStyle w:val="InternetLink"/>
          </w:rPr>
          <w:t>, 202</w:t>
        </w:r>
      </w:hyperlink>
      <w:hyperlink r:id="rId32">
        <w:r>
          <w:rPr>
            <w:rStyle w:val="InternetLink"/>
          </w:rPr>
          <w:t>6</w:t>
        </w:r>
      </w:hyperlink>
      <w:r>
        <w:rPr>
          <w:rFonts w:ascii="Times New Roman;serif" w:hAnsi="Times New Roman;serif"/>
          <w:b w:val="false"/>
          <w:color w:val="000000"/>
          <w:sz w:val="20"/>
        </w:rPr>
        <w:t xml:space="preserve">, </w:t>
      </w:r>
      <w:hyperlink r:id="rId33">
        <w:r>
          <w:rPr>
            <w:rStyle w:val="InternetLink"/>
          </w:rPr>
          <w:t>June 1</w:t>
        </w:r>
      </w:hyperlink>
      <w:hyperlink r:id="rId34">
        <w:r>
          <w:rPr>
            <w:rStyle w:val="InternetLink"/>
          </w:rPr>
          <w:t>0</w:t>
        </w:r>
      </w:hyperlink>
      <w:hyperlink r:id="rId35">
        <w:r>
          <w:rPr>
            <w:rStyle w:val="InternetLink"/>
          </w:rPr>
          <w:t>, 202</w:t>
        </w:r>
      </w:hyperlink>
      <w:hyperlink r:id="rId36">
        <w:r>
          <w:rPr>
            <w:rStyle w:val="InternetLink"/>
          </w:rPr>
          <w:t>6</w:t>
        </w:r>
      </w:hyperlink>
      <w:r>
        <w:rPr>
          <w:rFonts w:ascii="Times New Roman;serif" w:hAnsi="Times New Roman;serif"/>
          <w:b w:val="false"/>
          <w:color w:val="000000"/>
          <w:sz w:val="20"/>
        </w:rPr>
        <w:t xml:space="preserve">, </w:t>
      </w:r>
      <w:hyperlink r:id="rId37">
        <w:r>
          <w:rPr>
            <w:rStyle w:val="InternetLink"/>
            <w:rFonts w:ascii="Times New Roman;serif" w:hAnsi="Times New Roman;serif"/>
            <w:b w:val="false"/>
            <w:color w:val="0000FF"/>
            <w:sz w:val="20"/>
            <w:u w:val="single"/>
          </w:rPr>
          <w:t>June 26, 2026</w:t>
        </w:r>
      </w:hyperlink>
      <w:r>
        <w:rPr>
          <w:color w:val="000000"/>
        </w:rPr>
        <w:t xml:space="preserve"> </w:t>
      </w:r>
      <w:r>
        <w:rPr>
          <w:rFonts w:ascii="Times New Roman;serif" w:hAnsi="Times New Roman;serif"/>
          <w:b w:val="false"/>
          <w:color w:val="000000"/>
          <w:sz w:val="20"/>
        </w:rPr>
        <w:t xml:space="preserve">and </w:t>
      </w:r>
      <w:hyperlink r:id="rId38">
        <w:r>
          <w:rPr>
            <w:rStyle w:val="InternetLink"/>
            <w:rFonts w:ascii="Times New Roman;serif" w:hAnsi="Times New Roman;serif"/>
            <w:b w:val="false"/>
            <w:color w:val="0000FF"/>
            <w:sz w:val="20"/>
            <w:u w:val="single"/>
          </w:rPr>
          <w:t>September 3, 2026</w:t>
        </w:r>
      </w:hyperlink>
      <w:r>
        <w:rPr>
          <w:color w:val="000000"/>
        </w:rPr>
        <w:t xml:space="preserve"> </w:t>
      </w:r>
      <w:r>
        <w:rPr>
          <w:rFonts w:ascii="Times New Roman;serif" w:hAnsi="Times New Roman;serif"/>
          <w:b w:val="false"/>
          <w:color w:val="000000"/>
          <w:sz w:val="20"/>
        </w:rPr>
        <w:t>(other than any portions of such documents not deemed to be filed);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description of the Common Stock contained in the Registrant’s Registration Statement on Form 8-A, which became effective on July 23, 1960 (File No. 001-04365), together with any amendments or supplements thereto filed with the Commission for the purpose of updating such description.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All documents filed by the Company subsequent to the date of this Registration Statement pursuant to Sections 13(a), 13(c), 14 and 15(d) of the Securities Exchange Act of 1934, as amended,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date of filing of such documents. Notwithstanding the foregoing, unless specifically stated to the contrary in such filing, none of the information disclosed by the Registrant under Items 2.02 or 7.01 of any Current Report on Form 8-K that the Registrant may from time to time furnish to the Commission will be incorporated by reference into, or otherwise be included in or deemed to be a part of, this Registration Statement.</w:t>
      </w:r>
    </w:p>
    <w:p>
      <w:pPr>
        <w:pStyle w:val="TextBody"/>
        <w:bidi w:val="0"/>
        <w:spacing w:before="0" w:after="0"/>
        <w:jc w:val="both"/>
        <w:rPr/>
      </w:pPr>
      <w:r>
        <w:rPr/>
      </w:r>
    </w:p>
    <w:tbl>
      <w:tblPr>
        <w:tblW w:w="4259" w:type="dxa"/>
        <w:jc w:val="left"/>
        <w:tblInd w:w="0" w:type="dxa"/>
        <w:tblLayout w:type="fixed"/>
        <w:tblCellMar>
          <w:top w:w="28" w:type="dxa"/>
          <w:left w:w="28" w:type="dxa"/>
          <w:bottom w:w="28" w:type="dxa"/>
          <w:right w:w="28" w:type="dxa"/>
        </w:tblCellMar>
      </w:tblPr>
      <w:tblGrid>
        <w:gridCol w:w="255"/>
        <w:gridCol w:w="223"/>
        <w:gridCol w:w="226"/>
        <w:gridCol w:w="1041"/>
        <w:gridCol w:w="1041"/>
        <w:gridCol w:w="147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Interests of Named Experts and Counsel.</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legality of the securities offered hereby has been passed upon by Suraj A. Palakshappa, Senior Vice President, Finance &amp; Legal of the Registrant, who, as of September 4, 2026, beneficially owned 16,028 shares of Common Stock.</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79" w:type="dxa"/>
        <w:jc w:val="left"/>
        <w:tblInd w:w="0" w:type="dxa"/>
        <w:tblLayout w:type="fixed"/>
        <w:tblCellMar>
          <w:top w:w="28" w:type="dxa"/>
          <w:left w:w="28" w:type="dxa"/>
          <w:bottom w:w="28" w:type="dxa"/>
          <w:right w:w="28" w:type="dxa"/>
        </w:tblCellMar>
      </w:tblPr>
      <w:tblGrid>
        <w:gridCol w:w="255"/>
        <w:gridCol w:w="223"/>
        <w:gridCol w:w="226"/>
        <w:gridCol w:w="1075"/>
        <w:gridCol w:w="1075"/>
        <w:gridCol w:w="1525"/>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36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Indemnification of Directors and Officers.</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 is incorporated under the laws of the State of Georgia.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14-2-851 of the Georgia Business Corporation Code (the “GBCC”) empowers the Registrant to indemnify a director (including a former director and including a director who is or was serving at the Registrant’s request as a director, officer, partner, trustee, employee or agent of another foreign or domestic corporation, partnership, joint venture, trust, employee benefit plan or other entity) against liability incurred in a proceeding if: (1) the director conducted himself or herself in good faith; and (2) the director reasonably believed: (A) in the case of conduct in his or her official capacity, that such conduct was in the best interests of the corporation; (B) in all other cases, that such conduct was at least not opposed to the best interests of the corporation; and (C) in the case of any criminal proceeding, that the director had no reasonable cause to believe such conduct was unlawful. Subsection (d) of Section 14-2-851 of the GBCC provides that a corporation may not indemnify a director in connection with a proceeding by or in the right of the corporation, except for reasonable expenses incurred in connection with the proceeding if it is determined that the director has met the relevant standard of conduct under Section 14-2-851, or in connection with any proceeding with respect to conduct for which such director was adjudged liable on the basis that personal benefit was improperly received by such director, whether or not involving action in such director’s official capacity.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Section 14-2-856 of the GBCC permits the Registrant’s articles of incorporation, the Registrant’s bylaws, a contract or a resolution approved or ratified by the Registrant’s shareholders to authorize the Registrant to indemnify a director against claims to which the director was a party, including claims by the Registrant or in its right (e.g., shareholder derivative action). However, the Registrant may not indemnify the director where the director is adjudged liable to the Registrant or if the director is subjected to injunctive relief in the Registrant’s favor for (i) any misappropriation of a business opportunity belonging to the Registrant, (ii) intentional misconduct or knowing violation of the law, (iii) unlawful distributions or (iv) receipt of an improper benefit.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14-2-852 of the GBCC provides for mandatory indemnification against reasonable expenses incurred by a director who is wholly successful, on the merits or otherwise, in defending an action to which the director was a party due to his or her status as the Registrant’s director. Section 14-2-854 allows a court, upon application by a director, to order indemnification and/or advancement of expenses if it determines that the director is entitled to indemnification under the GBCC or it determines that indemnification is fair and reasonable even if, among other things, the director has failed to meet the statutory standard of conduct provided under Section 14-2-851. However, the court may not order indemnification in excess of reasonable expenses where the Registrant is adjudged liable in a proceeding by or in the right of the corporation or for receipt of an improper benefit.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14-2-857 of the GBCC permits the Registrant to indemnify an officer (including a former officer and including an officer who is or was serving at the Registrant’s request as a director, officer, partner, trustee, employee or agent of another foreign or domestic corporation, partnership, joint venture, trust, employee benefit plan or other entity) to the same extent as a director. The Registrant may indemnify an officer who is not a director to a further extent by means of the Registrant’s articles of incorporation, bylaws, board resolutions, or by contract. However, the Registrant may not indemnify an officer for liability arising from conduct involving misappropriation of a business opportunity of the Registrant, intentional misconduct or knowing violation of the law, unlawful distributions, or receipt of an improper benefit. An officer who is not a director is also entitled to mandatory indemnification and may apply for court-ordered indemnification.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14-2-858 of the GBCC permits the Registrant to purchase and maintain insurance on behalf of the Registrant’s directors and officers against liability incurred by them in their capacities or arising out of their status as the Registrant’s directors and officers, regardless of whether the Registrant would have the power to indemnify or advance expenses to the director or officer for the same liability under the GBCC.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Bylaws of the Registrant provide, in effect, that, to the fullest extent and under the circumstances permitted by the GBCC, the Registrant will indemnify any and all of its officers and directors. In addition, the Registrant carries director and officer liability insurance on behalf of its officers and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05" w:type="dxa"/>
        <w:jc w:val="left"/>
        <w:tblInd w:w="0" w:type="dxa"/>
        <w:tblLayout w:type="fixed"/>
        <w:tblCellMar>
          <w:top w:w="28" w:type="dxa"/>
          <w:left w:w="28" w:type="dxa"/>
          <w:bottom w:w="28" w:type="dxa"/>
          <w:right w:w="28" w:type="dxa"/>
        </w:tblCellMar>
      </w:tblPr>
      <w:tblGrid>
        <w:gridCol w:w="255"/>
        <w:gridCol w:w="223"/>
        <w:gridCol w:w="226"/>
        <w:gridCol w:w="264"/>
        <w:gridCol w:w="264"/>
        <w:gridCol w:w="37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90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Registration Statement: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2759"/>
        <w:gridCol w:w="2759"/>
        <w:gridCol w:w="393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3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9">
              <w:r>
                <w:rPr>
                  <w:rStyle w:val="InternetLink"/>
                  <w:rFonts w:ascii="Times New Roman;serif" w:hAnsi="Times New Roman;serif"/>
                  <w:b w:val="false"/>
                  <w:color w:val="0E32E1"/>
                  <w:sz w:val="20"/>
                  <w:u w:val="single"/>
                </w:rPr>
                <w:t>Restated Articles of Incorporation of the Registrant (incorporated by reference to Exhibit 3.1 to the Registrant’s Form 10-Q for the fiscal quarter ended July 29, 2017)</w:t>
              </w:r>
            </w:hyperlink>
            <w:r>
              <w:rPr>
                <w:rFonts w:ascii="Times New Roman;serif" w:hAnsi="Times New Roman;serif"/>
                <w:b w:val="false"/>
                <w:color w:val="0E32E1"/>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0">
              <w:r>
                <w:rPr>
                  <w:rStyle w:val="InternetLink"/>
                  <w:rFonts w:ascii="Times New Roman;serif" w:hAnsi="Times New Roman;serif"/>
                  <w:b w:val="false"/>
                  <w:color w:val="000080"/>
                  <w:sz w:val="20"/>
                  <w:u w:val="single"/>
                </w:rPr>
                <w:t xml:space="preserve">Bylaws of the Registrant, as amended (incorporated by reference to Exhibit 3.2 to the Registrant’s Form 10-Q for the fiscal quarter ended </w:t>
              </w:r>
            </w:hyperlink>
            <w:hyperlink r:id="rId41">
              <w:r>
                <w:rPr>
                  <w:rStyle w:val="InternetLink"/>
                  <w:rFonts w:ascii="Times New Roman;serif" w:hAnsi="Times New Roman;serif"/>
                  <w:b w:val="false"/>
                  <w:color w:val="000080"/>
                  <w:sz w:val="20"/>
                  <w:u w:val="single"/>
                </w:rPr>
                <w:t>May 2, 2026</w:t>
              </w:r>
            </w:hyperlink>
            <w:hyperlink r:id="rId42">
              <w:r>
                <w:rPr>
                  <w:rStyle w:val="InternetLink"/>
                  <w:rFonts w:ascii="Times New Roman;serif" w:hAnsi="Times New Roman;serif"/>
                  <w:b w:val="false"/>
                  <w:color w:val="000080"/>
                  <w:sz w:val="20"/>
                  <w:u w:val="single"/>
                </w:rPr>
                <w:t>)</w:t>
              </w:r>
            </w:hyperlink>
            <w:r>
              <w:rPr>
                <w:rFonts w:ascii="Times New Roman;serif" w:hAnsi="Times New Roman;serif"/>
                <w:b w:val="false"/>
                <w:color w:val="0E32E1"/>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3">
              <w:r>
                <w:rPr>
                  <w:rStyle w:val="InternetLink"/>
                  <w:rFonts w:ascii="Times New Roman;serif" w:hAnsi="Times New Roman;serif"/>
                  <w:b w:val="false"/>
                  <w:color w:val="000080"/>
                  <w:sz w:val="20"/>
                  <w:u w:val="single"/>
                </w:rPr>
                <w:t xml:space="preserve">Oxford Industries, Inc. Amended and Restated Long-Term Stock Incentive Plan, effective as of </w:t>
              </w:r>
            </w:hyperlink>
            <w:hyperlink r:id="rId44">
              <w:r>
                <w:rPr>
                  <w:rStyle w:val="InternetLink"/>
                  <w:rFonts w:ascii="Times New Roman;serif" w:hAnsi="Times New Roman;serif"/>
                  <w:b w:val="false"/>
                  <w:color w:val="000080"/>
                  <w:sz w:val="20"/>
                  <w:u w:val="single"/>
                </w:rPr>
                <w:t>June 23, 2026</w:t>
              </w:r>
            </w:hyperlink>
            <w:hyperlink r:id="rId45">
              <w:r>
                <w:rPr>
                  <w:rStyle w:val="InternetLink"/>
                  <w:rFonts w:ascii="Times New Roman;serif" w:hAnsi="Times New Roman;serif"/>
                  <w:b w:val="false"/>
                  <w:color w:val="000080"/>
                  <w:sz w:val="20"/>
                  <w:u w:val="single"/>
                </w:rPr>
                <w:t xml:space="preserve"> (incorporated by reference to </w:t>
              </w:r>
            </w:hyperlink>
            <w:hyperlink r:id="rId46">
              <w:r>
                <w:rPr>
                  <w:rStyle w:val="InternetLink"/>
                  <w:rFonts w:ascii="Times New Roman;serif" w:hAnsi="Times New Roman;serif"/>
                  <w:b w:val="false"/>
                  <w:color w:val="000080"/>
                  <w:sz w:val="20"/>
                  <w:u w:val="single"/>
                </w:rPr>
                <w:t>Exhibit 10.</w:t>
              </w:r>
            </w:hyperlink>
            <w:hyperlink r:id="rId47">
              <w:r>
                <w:rPr>
                  <w:rStyle w:val="InternetLink"/>
                  <w:rFonts w:ascii="Times New Roman;serif" w:hAnsi="Times New Roman;serif"/>
                  <w:b w:val="false"/>
                  <w:color w:val="000080"/>
                  <w:sz w:val="20"/>
                  <w:u w:val="single"/>
                </w:rPr>
                <w:t>1</w:t>
              </w:r>
            </w:hyperlink>
            <w:hyperlink r:id="rId48">
              <w:r>
                <w:rPr>
                  <w:rStyle w:val="InternetLink"/>
                  <w:rFonts w:ascii="Times New Roman;serif" w:hAnsi="Times New Roman;serif"/>
                  <w:b w:val="false"/>
                  <w:color w:val="000080"/>
                  <w:sz w:val="20"/>
                  <w:u w:val="single"/>
                </w:rPr>
                <w:t xml:space="preserve"> to the Registrant’s Form 10-</w:t>
              </w:r>
            </w:hyperlink>
            <w:hyperlink r:id="rId49">
              <w:r>
                <w:rPr>
                  <w:rStyle w:val="InternetLink"/>
                  <w:rFonts w:ascii="Times New Roman;serif" w:hAnsi="Times New Roman;serif"/>
                  <w:b w:val="false"/>
                  <w:color w:val="000080"/>
                  <w:sz w:val="20"/>
                  <w:u w:val="single"/>
                </w:rPr>
                <w:t>Q</w:t>
              </w:r>
            </w:hyperlink>
            <w:hyperlink r:id="rId50">
              <w:r>
                <w:rPr>
                  <w:rStyle w:val="InternetLink"/>
                  <w:rFonts w:ascii="Times New Roman;serif" w:hAnsi="Times New Roman;serif"/>
                  <w:b w:val="false"/>
                  <w:color w:val="000080"/>
                  <w:sz w:val="20"/>
                  <w:u w:val="single"/>
                </w:rPr>
                <w:t xml:space="preserve"> filed on </w:t>
              </w:r>
            </w:hyperlink>
            <w:hyperlink r:id="rId51">
              <w:r>
                <w:rPr>
                  <w:rStyle w:val="InternetLink"/>
                  <w:rFonts w:ascii="Times New Roman;serif" w:hAnsi="Times New Roman;serif"/>
                  <w:b w:val="false"/>
                  <w:color w:val="000080"/>
                  <w:sz w:val="20"/>
                  <w:u w:val="single"/>
                </w:rPr>
                <w:t xml:space="preserve">September </w:t>
              </w:r>
            </w:hyperlink>
            <w:hyperlink r:id="rId52">
              <w:r>
                <w:rPr>
                  <w:rStyle w:val="InternetLink"/>
                  <w:rFonts w:ascii="Times New Roman;serif" w:hAnsi="Times New Roman;serif"/>
                  <w:b w:val="false"/>
                  <w:color w:val="000080"/>
                  <w:sz w:val="20"/>
                  <w:u w:val="single"/>
                </w:rPr>
                <w:t>4, 2026</w:t>
              </w:r>
            </w:hyperlink>
            <w:hyperlink r:id="rId53">
              <w:r>
                <w:rPr>
                  <w:rStyle w:val="InternetLink"/>
                  <w:rFonts w:ascii="Times New Roman;serif" w:hAnsi="Times New Roman;serif"/>
                  <w:b w:val="false"/>
                  <w:color w:val="000080"/>
                  <w:sz w:val="20"/>
                  <w:u w:val="single"/>
                </w:rPr>
                <w:t>)</w:t>
              </w:r>
            </w:hyperlink>
            <w:r>
              <w:rPr>
                <w:rFonts w:ascii="Times New Roman;serif" w:hAnsi="Times New Roman;serif"/>
                <w:b w:val="false"/>
                <w:color w:val="0E32E1"/>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forms-8exhibit512026.htm">
              <w:r>
                <w:rPr>
                  <w:rStyle w:val="InternetLink"/>
                  <w:rFonts w:ascii="Times New Roman;serif" w:hAnsi="Times New Roman;serif"/>
                  <w:b w:val="false"/>
                  <w:color w:val="000080"/>
                  <w:sz w:val="20"/>
                  <w:u w:val="single"/>
                </w:rPr>
                <w:t>Opinion of</w:t>
              </w:r>
            </w:hyperlink>
            <w:hyperlink w:anchor="forms-8exhibit512026.htm">
              <w:r>
                <w:rPr>
                  <w:rStyle w:val="InternetLink"/>
                  <w:rFonts w:ascii="Times New Roman;serif" w:hAnsi="Times New Roman;serif"/>
                  <w:b w:val="false"/>
                  <w:color w:val="000080"/>
                  <w:sz w:val="20"/>
                  <w:u w:val="single"/>
                </w:rPr>
                <w:t xml:space="preserve"> </w:t>
              </w:r>
            </w:hyperlink>
            <w:hyperlink w:anchor="forms-8exhibit512026.htm">
              <w:r>
                <w:rPr>
                  <w:rStyle w:val="InternetLink"/>
                  <w:rFonts w:ascii="Times New Roman;serif" w:hAnsi="Times New Roman;serif"/>
                  <w:b w:val="false"/>
                  <w:color w:val="000080"/>
                  <w:sz w:val="20"/>
                  <w:u w:val="single"/>
                </w:rPr>
                <w:t>Suraj A. Palakshappa</w:t>
              </w:r>
            </w:hyperlink>
            <w:r>
              <w:rPr>
                <w:rFonts w:ascii="Times New Roman;serif" w:hAnsi="Times New Roman;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forms-8exhibit2312026.htm">
              <w:r>
                <w:rPr>
                  <w:rStyle w:val="InternetLink"/>
                  <w:rFonts w:ascii="Times New Roman;serif" w:hAnsi="Times New Roman;serif"/>
                  <w:b w:val="false"/>
                  <w:color w:val="0E32E1"/>
                  <w:sz w:val="20"/>
                  <w:u w:val="single"/>
                </w:rPr>
                <w:t>Consent of Independent Registered Public Accounting Firm</w:t>
              </w:r>
            </w:hyperlink>
            <w:r>
              <w:rPr>
                <w:rFonts w:ascii="Times New Roman;serif" w:hAnsi="Times New Roman;serif"/>
                <w:b w:val="false"/>
                <w:color w:val="0E32E1"/>
                <w:sz w:val="20"/>
              </w:rPr>
              <w:t>.</w:t>
            </w:r>
            <w:r>
              <w:rPr>
                <w:rFonts w:ascii="Times New Roman;serif" w:hAnsi="Times New Roman;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forms-8exhibit512026.htm">
              <w:r>
                <w:rPr>
                  <w:rStyle w:val="InternetLink"/>
                  <w:rFonts w:ascii="Times New Roman;serif" w:hAnsi="Times New Roman;serif"/>
                  <w:b w:val="false"/>
                  <w:color w:val="000080"/>
                  <w:sz w:val="20"/>
                  <w:u w:val="single"/>
                </w:rPr>
                <w:t xml:space="preserve">Consent of </w:t>
              </w:r>
            </w:hyperlink>
            <w:hyperlink w:anchor="forms-8exhibit512026.htm">
              <w:r>
                <w:rPr>
                  <w:rStyle w:val="InternetLink"/>
                  <w:rFonts w:ascii="Times New Roman;serif" w:hAnsi="Times New Roman;serif"/>
                  <w:b w:val="false"/>
                  <w:color w:val="000080"/>
                  <w:sz w:val="20"/>
                  <w:u w:val="single"/>
                </w:rPr>
                <w:t>Suraj A. Palakshappa</w:t>
              </w:r>
            </w:hyperlink>
            <w:hyperlink w:anchor="forms-8exhibit512026.htm">
              <w:r>
                <w:rPr>
                  <w:rStyle w:val="InternetLink"/>
                  <w:rFonts w:ascii="Times New Roman;serif" w:hAnsi="Times New Roman;serif"/>
                  <w:b w:val="false"/>
                  <w:color w:val="000080"/>
                  <w:sz w:val="20"/>
                  <w:u w:val="single"/>
                </w:rPr>
                <w:t xml:space="preserve"> (included as part of Exhibit 5.1 hereto).</w:t>
              </w:r>
            </w:hyperlink>
            <w:r>
              <w:rPr>
                <w:rFonts w:ascii="Times New Roman;serif" w:hAnsi="Times New Roman;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forms-8exhibit242026.htm">
              <w:r>
                <w:rPr>
                  <w:rStyle w:val="InternetLink"/>
                  <w:rFonts w:ascii="Times New Roman;serif" w:hAnsi="Times New Roman;serif"/>
                  <w:b w:val="false"/>
                  <w:color w:val="0E32E1"/>
                  <w:sz w:val="20"/>
                  <w:u w:val="single"/>
                </w:rPr>
                <w:t>Power of Attorney</w:t>
              </w:r>
            </w:hyperlink>
            <w:r>
              <w:rPr>
                <w:rFonts w:ascii="Times New Roman;serif" w:hAnsi="Times New Roman;serif"/>
                <w:b w:val="false"/>
                <w:color w:val="0E32E1"/>
                <w:sz w:val="20"/>
              </w:rPr>
              <w:t>.</w:t>
            </w:r>
            <w:r>
              <w:rPr>
                <w:rFonts w:ascii="Times New Roman;serif" w:hAnsi="Times New Roman;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filingfees2026.htm">
              <w:r>
                <w:rPr>
                  <w:rStyle w:val="InternetLink"/>
                  <w:rFonts w:ascii="Times New Roman;serif" w:hAnsi="Times New Roman;serif"/>
                  <w:b w:val="false"/>
                  <w:color w:val="0E32E1"/>
                  <w:sz w:val="20"/>
                  <w:u w:val="single"/>
                </w:rPr>
                <w:t>Filing Fee Table</w:t>
              </w:r>
            </w:hyperlink>
            <w:r>
              <w:rPr>
                <w:rFonts w:ascii="Times New Roman;serif" w:hAnsi="Times New Roman;serif"/>
                <w:b w:val="false"/>
                <w:color w:val="000000"/>
                <w:sz w:val="20"/>
              </w:rPr>
              <w:t>.*</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6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Atlanta, State of Georgia, on September 4, 2026. </w:t>
      </w:r>
    </w:p>
    <w:tbl>
      <w:tblPr>
        <w:tblW w:w="5426" w:type="dxa"/>
        <w:jc w:val="left"/>
        <w:tblInd w:w="0" w:type="dxa"/>
        <w:tblLayout w:type="fixed"/>
        <w:tblCellMar>
          <w:top w:w="28" w:type="dxa"/>
          <w:left w:w="28" w:type="dxa"/>
          <w:bottom w:w="28" w:type="dxa"/>
          <w:right w:w="28" w:type="dxa"/>
        </w:tblCellMar>
      </w:tblPr>
      <w:tblGrid>
        <w:gridCol w:w="124"/>
        <w:gridCol w:w="109"/>
        <w:gridCol w:w="109"/>
        <w:gridCol w:w="310"/>
        <w:gridCol w:w="310"/>
        <w:gridCol w:w="310"/>
        <w:gridCol w:w="1209"/>
        <w:gridCol w:w="1209"/>
        <w:gridCol w:w="17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Oxford Industries,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C. CHUBB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Thomas C. Chubb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Chairman, Chief Executive Officer and President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below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801"/>
        <w:gridCol w:w="566"/>
        <w:gridCol w:w="569"/>
        <w:gridCol w:w="2326"/>
        <w:gridCol w:w="2267"/>
        <w:gridCol w:w="2297"/>
        <w:gridCol w:w="400"/>
        <w:gridCol w:w="400"/>
        <w:gridCol w:w="579"/>
      </w:tblGrid>
      <w:tr>
        <w:trPr/>
        <w:tc>
          <w:tcPr>
            <w:tcW w:w="8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68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Capacity</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C. CHUBB III</w:t>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Thomas C. Chubb III</w:t>
            </w:r>
          </w:p>
        </w:tc>
        <w:tc>
          <w:tcPr>
            <w:tcW w:w="68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br/>
              <w:t>Chief Executive Officer and President</w:t>
              <w:br/>
              <w:t>(Principal Executive Officer)</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 SCOTT GRASSMYER</w:t>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 Scott Grassmyer</w:t>
            </w:r>
          </w:p>
        </w:tc>
        <w:tc>
          <w:tcPr>
            <w:tcW w:w="68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Chief Operating Officer (Principal Financial Officer and Principal Accounting Officer)</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Helen Ballard</w:t>
            </w:r>
          </w:p>
        </w:tc>
        <w:tc>
          <w:tcPr>
            <w:tcW w:w="68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A. Hepner</w:t>
            </w:r>
          </w:p>
        </w:tc>
        <w:tc>
          <w:tcPr>
            <w:tcW w:w="68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John R. Holder</w:t>
            </w:r>
          </w:p>
        </w:tc>
        <w:tc>
          <w:tcPr>
            <w:tcW w:w="68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Stephen S. Lanier</w:t>
            </w:r>
          </w:p>
        </w:tc>
        <w:tc>
          <w:tcPr>
            <w:tcW w:w="68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Dennis M. Love</w:t>
            </w:r>
          </w:p>
        </w:tc>
        <w:tc>
          <w:tcPr>
            <w:tcW w:w="68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Milford W. McGuirt</w:t>
            </w:r>
          </w:p>
        </w:tc>
        <w:tc>
          <w:tcPr>
            <w:tcW w:w="68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Clyde C. Tuggle</w:t>
            </w:r>
          </w:p>
        </w:tc>
        <w:tc>
          <w:tcPr>
            <w:tcW w:w="68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Carol B. Yancey</w:t>
            </w:r>
          </w:p>
        </w:tc>
        <w:tc>
          <w:tcPr>
            <w:tcW w:w="68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bl>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SURAJ A. PALAKSHAPPA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Suraj A. Palakshappa</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as Attorney-in-Fact</w:t>
      </w:r>
    </w:p>
    <w:p>
      <w:pPr>
        <w:pStyle w:val="Normal"/>
        <w:bidi w:val="0"/>
        <w:spacing w:before="0" w:after="0"/>
        <w:jc w:val="left"/>
        <w:rPr>
          <w:sz w:val="4"/>
          <w:szCs w:val="4"/>
        </w:rPr>
      </w:pPr>
      <w:r>
        <w:rPr>
          <w:sz w:val="4"/>
          <w:szCs w:val="4"/>
        </w:rPr>
      </w:r>
      <w:bookmarkStart w:id="0" w:name="exfilingfees2026.htm"/>
      <w:bookmarkStart w:id="1" w:name="ksexfilingfees2026"/>
      <w:bookmarkStart w:id="2" w:name="exfilingfees2026.htm"/>
      <w:bookmarkStart w:id="3" w:name="ksexfilingfees2026"/>
      <w:bookmarkEnd w:id="2"/>
      <w:bookmarkEnd w:id="3"/>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OXFORD INDUSTRIES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6"/>
        <w:gridCol w:w="1043"/>
        <w:gridCol w:w="1293"/>
        <w:gridCol w:w="1202"/>
        <w:gridCol w:w="1214"/>
        <w:gridCol w:w="1702"/>
        <w:gridCol w:w="1127"/>
        <w:gridCol w:w="1426"/>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3" w:type="dxa"/>
            <w:tcBorders/>
            <w:shd w:fill="E7E7E2" w:val="clear"/>
            <w:vAlign w:val="center"/>
          </w:tcPr>
          <w:p>
            <w:pPr>
              <w:pStyle w:val="TableContents"/>
              <w:bidi w:val="0"/>
              <w:spacing w:before="0" w:after="283"/>
              <w:jc w:val="left"/>
              <w:rPr/>
            </w:pPr>
            <w:r>
              <w:rPr/>
              <w:t xml:space="preserve">Common Stock, par value $1.00 per share </w:t>
            </w:r>
          </w:p>
        </w:tc>
        <w:tc>
          <w:tcPr>
            <w:tcW w:w="1293" w:type="dxa"/>
            <w:tcBorders/>
            <w:shd w:fill="E7E7E2" w:val="clear"/>
            <w:vAlign w:val="center"/>
          </w:tcPr>
          <w:p>
            <w:pPr>
              <w:pStyle w:val="TableContents"/>
              <w:bidi w:val="0"/>
              <w:spacing w:before="0" w:after="283"/>
              <w:jc w:val="center"/>
              <w:rPr/>
            </w:pPr>
            <w:r>
              <w:rPr/>
              <w:t xml:space="preserve">Other </w:t>
            </w:r>
          </w:p>
        </w:tc>
        <w:tc>
          <w:tcPr>
            <w:tcW w:w="1202" w:type="dxa"/>
            <w:tcBorders/>
            <w:shd w:fill="E7E7E2" w:val="clear"/>
            <w:vAlign w:val="center"/>
          </w:tcPr>
          <w:p>
            <w:pPr>
              <w:pStyle w:val="TableContents"/>
              <w:bidi w:val="0"/>
              <w:spacing w:before="0" w:after="283"/>
              <w:jc w:val="right"/>
              <w:rPr/>
            </w:pPr>
            <w:r>
              <w:rPr/>
              <w:t xml:space="preserve">750,000 </w:t>
            </w:r>
          </w:p>
        </w:tc>
        <w:tc>
          <w:tcPr>
            <w:tcW w:w="1214" w:type="dxa"/>
            <w:tcBorders/>
            <w:shd w:fill="E7E7E2" w:val="clear"/>
            <w:vAlign w:val="center"/>
          </w:tcPr>
          <w:p>
            <w:pPr>
              <w:pStyle w:val="TableContents"/>
              <w:bidi w:val="0"/>
              <w:spacing w:before="0" w:after="283"/>
              <w:jc w:val="right"/>
              <w:rPr/>
            </w:pPr>
            <w:r>
              <w:rPr/>
              <w:t xml:space="preserve">$ 37.97 </w:t>
            </w:r>
          </w:p>
        </w:tc>
        <w:tc>
          <w:tcPr>
            <w:tcW w:w="1702" w:type="dxa"/>
            <w:tcBorders/>
            <w:shd w:fill="E7E7E2" w:val="clear"/>
            <w:vAlign w:val="center"/>
          </w:tcPr>
          <w:p>
            <w:pPr>
              <w:pStyle w:val="TableContents"/>
              <w:bidi w:val="0"/>
              <w:spacing w:before="0" w:after="283"/>
              <w:jc w:val="right"/>
              <w:rPr/>
            </w:pPr>
            <w:r>
              <w:rPr/>
              <w:t xml:space="preserve">$ 28,477,500.00 </w:t>
            </w:r>
          </w:p>
        </w:tc>
        <w:tc>
          <w:tcPr>
            <w:tcW w:w="1127"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$ 3,932.74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0"/>
              <w:ind w:left="0" w:right="0" w:hanging="0"/>
              <w:jc w:val="right"/>
              <w:rPr/>
            </w:pPr>
            <w:bookmarkStart w:id="4" w:name="MaxAggtOfferingPrice"/>
            <w:bookmarkEnd w:id="4"/>
            <w:r>
              <w:rPr/>
              <w:t xml:space="preserve">$ 28,477,500.00 </w:t>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$ 3,932.74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7" w:name="NetFeeAmt"/>
            <w:bookmarkEnd w:id="7"/>
            <w:r>
              <w:rPr/>
              <w:t xml:space="preserve">$ 3,932.74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 of the Securities Act of 1933, as amended (the "Securities Act"), this Registration Statement also covers any additional shares of Common Stock which become issuable under the Oxford Industries, Inc. Amended and Restated Long-Term Stock Incentive Plan (the "Plan"), by reason of any stock dividend, stock split, recapitalization or any other similar transaction effected without the receipt of consideration which results in an increase in the number of shares of outstanding common stock. (2) Amount Registered represents 750,000 additional shares of Common Stock that were added to the shares authorized for issuance under the Plan. (3) Proposed Maximum Offering Price per Unit is estimated pursuant to Rules 457(c) and 457(h) under the Securities Act solely for the purpose of calculating the registration fee. The price of $37.97 per share represents the average of the high and low sales prices of the common stock as reported on the New York Stock Exchange on August 31,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before="0" w:after="0"/>
        <w:jc w:val="left"/>
        <w:rPr/>
      </w:pPr>
      <w:r>
        <w:rPr/>
        <w:drawing>
          <wp:inline distT="0" distB="0" distL="0" distR="0">
            <wp:extent cx="1828800" cy="3333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54"/>
                    <a:stretch>
                      <a:fillRect/>
                    </a:stretch>
                  </pic:blipFill>
                  <pic:spPr bwMode="auto">
                    <a:xfrm>
                      <a:off x="0" y="0"/>
                      <a:ext cx="1828800" cy="3333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Oxford Industries, Inc.</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999 Peachtree Street NE, Suite 1225</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Atlanta, Georgia 30309</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 Oxford Industries, Inc. Registration Statement on Form S-8</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 am Senior Vice President, Finance &amp; Legal of Oxford Industries, Inc., a Georgia corporation (the “Company”). In my capacity as Senior Vice President, Finance &amp; Legal of the Company, I have acted as counsel for the Company in connection with the Registration Statement on Form S-8 (the “Registration Statement”) to be filed with the U.S. Securities and Exchange Commission relating to an additional 750,000 shares (the “Shares”) of common stock, par value $1.00 per share (the “Common Stock”), of the Company for issuance under the Company’s Amended and Restated Long-Term Stock Incentive Plan (as amended and restated as of the date hereof, the “Plan”). </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This opinion is delivered in accordance with the requirements of Item 601(b)(5) of Regulation S-K under the Securities Act of 1933, as amended (the “Securities Act”).</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opinion, I have examined and relied on such documents, records, agreements and certificates as I have deemed necessary to form the basis for the opinion hereinafter expressed. In such examinations, I have assumed the genuineness of signatures on all documents submitted to me as originals, the conformity to original documents of all copies submitted to me as certified, conformed or photographic copies, and the legal capacity of all natural persons. For purposes of this opinion, I have assumed that the Shares that may be issued pursuant to the Plan will continue to be duly authorized on the dates of such issuance. </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This opinion is limited in all respects to the laws of the State of Georgia, and no opinion is expressed with respect to the laws of any other jurisdiction or any effect which such laws may have on the opinion expressed herein. This opinion is limited to the matters stated herein, and no opinion is implied or may be inferred beyond the matters expressly stated herein. </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the foregoing and subject to the limitations, qualifications and assumptions set forth herein, I am of the opinion that when issued and delivered in accordance with the terms of the Plan, the Shares will be validly issued, fully paid and non-assessable. </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This opinion is given as of the date hereof, and I assume no obligation to advise you after the date hereof of facts or circumstances that come to my attention, or changes in law that occur, that could affect the opinion contained herein. This opinion is provided for use solely in connection with the filing of the Registration Statement and may not be furnished to or relied upon by any person or entity for any other purpose without my prior written consent. </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I hereby consent to the filing of this opinion as an exhibit to the Registration Statement and to the use of my name wherever appearing in the Registration Statement. In giving such consent, I do not thereby admit that I am in the category of persons whose consent is required under Section 7 of the Securities Act.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Very truly yours,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SURAJ A. PALAKSHAPPA</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Suraj A. Palakshappa</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Senior Vice President, Finance &amp; Legal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We consent to the incorporation by reference in the Registration Statement (Form S-8) pertaining to the Oxford Industries, Inc. Amended and Restated Long-Term Stock Incentive Plan of our reports dated March 27, 2026, with respect to the consolidated financial statements and schedule of Oxford Industries, Inc. and the effectiveness of internal control over financial reporting of Oxford Industries, Inc. included in its Annual Report (Form 10-K) for the year ended January 31, 2026, filed with the Securities and Exchange Commission.</w:t>
      </w:r>
      <w:r>
        <w:rPr>
          <w:color w:val="333333"/>
          <w:shd w:fill="FFFFFF" w:val="clear"/>
        </w:rPr>
        <w:t xml:space="preserve"> </w:t>
      </w:r>
    </w:p>
    <w:p>
      <w:pPr>
        <w:pStyle w:val="TextBody"/>
        <w:bidi w:val="0"/>
        <w:spacing w:before="0" w:after="0"/>
        <w:jc w:val="left"/>
        <w:rPr/>
      </w:pPr>
      <w:r>
        <w:rPr/>
      </w:r>
    </w:p>
    <w:p>
      <w:pPr>
        <w:pStyle w:val="TextBody"/>
        <w:bidi w:val="0"/>
        <w:spacing w:lineRule="auto" w:line="256" w:before="0" w:after="0"/>
        <w:jc w:val="center"/>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Atlanta, Georgia</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September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POWER OF ATTORNEY</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a director of Oxford Industries, Inc. (the “Company”), does hereby constitute and appoint each of Suraj A. Palakshappa, Jonathan O. Leptich, Mary Margaret Heaton and Caroline Wood, or any one of them, my true and lawful attorneys-in-fact for me and in my name for the purpose of executing on my behalf in any and all capacities a registration statement on Form S-8, or such other form as such attorneys-in-fact, or any of them, may deem necessary or desirable, relating to the Oxford Industries, Inc. Amended and Restated Long-Term Stock Incentive Plan (the “Registration Statement”), or any amendment (including post-effective amendments) or supplement thereto and any other instruments or documents filed as a part of or in connection therewith, and causing such Registration Statement, with all exhibits thereto, and any such amendment or supplement or other instrument or document, to be filed with the U.S. Securities and Exchange Commission pursuant to the Securities Act of 1933, as amended. In addition, each such attorney-in-fact shall have full power and authority to do and perform any and all acts on my behalf which may be necessary or desirable to complete, execute and timely file such Registration Statement with the U.S. Securities and Exchange Commission and any stock exchange or similar authority, and I hereby ratify and confirm all that said attorneys-in-fact, or any of them, may lawfully do or cause to be done by virtue hereof.</w:t>
      </w:r>
    </w:p>
    <w:p>
      <w:pPr>
        <w:pStyle w:val="TextBody"/>
        <w:bidi w:val="0"/>
        <w:spacing w:before="0" w:after="0"/>
        <w:jc w:val="left"/>
        <w:rPr/>
      </w:pPr>
      <w:r>
        <w:rPr/>
      </w:r>
    </w:p>
    <w:tbl>
      <w:tblPr>
        <w:tblW w:w="2487" w:type="dxa"/>
        <w:jc w:val="left"/>
        <w:tblInd w:w="0" w:type="dxa"/>
        <w:tblLayout w:type="fixed"/>
        <w:tblCellMar>
          <w:top w:w="28" w:type="dxa"/>
          <w:left w:w="28" w:type="dxa"/>
          <w:bottom w:w="28" w:type="dxa"/>
          <w:right w:w="28" w:type="dxa"/>
        </w:tblCellMar>
      </w:tblPr>
      <w:tblGrid>
        <w:gridCol w:w="124"/>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Virginia A. Hepner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Virginia A. Hepner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 September 1, 2026</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POWER OF ATTORNEY</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a director of Oxford Industries, Inc. (the “Company”), does hereby constitute and appoint each of Suraj A. Palakshappa, Jonathan O. Leptich, Mary Margaret Heaton and Caroline Wood, or any one of them, my true and lawful attorneys-in-fact for me and in my name for the purpose of executing on my behalf in any and all capacities a registration statement on Form S-8, or such other form as such attorneys-in-fact, or any of them, may deem necessary or desirable, relating to the Oxford Industries, Inc. Amended and Restated Long-Term Stock Incentive Plan (the “Registration Statement”), or any amendment (including post-effective amendments) or supplement thereto and any other instruments or documents filed as a part of or in connection therewith, and causing such Registration Statement, with all exhibits thereto, and any such amendment or supplement or other instrument or document, to be filed with the U.S. Securities and Exchange Commission pursuant to the Securities Act of 1933, as amended. In addition, each such attorney-in-fact shall have full power and authority to do and perform any and all acts on my behalf which may be necessary or desirable to complete, execute and timely file such Registration Statement with the U.S. Securities and Exchange Commission and any stock exchange or similar authority, and I hereby ratify and confirm all that said attorneys-in-fact, or any of them, may lawfully do or cause to be done by virtue hereof.</w:t>
      </w:r>
    </w:p>
    <w:p>
      <w:pPr>
        <w:pStyle w:val="TextBody"/>
        <w:bidi w:val="0"/>
        <w:spacing w:before="0" w:after="0"/>
        <w:jc w:val="left"/>
        <w:rPr/>
      </w:pPr>
      <w:r>
        <w:rPr/>
      </w:r>
    </w:p>
    <w:tbl>
      <w:tblPr>
        <w:tblW w:w="2487" w:type="dxa"/>
        <w:jc w:val="left"/>
        <w:tblInd w:w="0" w:type="dxa"/>
        <w:tblLayout w:type="fixed"/>
        <w:tblCellMar>
          <w:top w:w="28" w:type="dxa"/>
          <w:left w:w="28" w:type="dxa"/>
          <w:bottom w:w="28" w:type="dxa"/>
          <w:right w:w="28" w:type="dxa"/>
        </w:tblCellMar>
      </w:tblPr>
      <w:tblGrid>
        <w:gridCol w:w="124"/>
        <w:gridCol w:w="109"/>
        <w:gridCol w:w="109"/>
        <w:gridCol w:w="626"/>
        <w:gridCol w:w="626"/>
        <w:gridCol w:w="8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R. Holder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John R. Holder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 September 1, 2026</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POWER OF ATTORNEY</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a director of Oxford Industries, Inc. (the “Company”), does hereby constitute and appoint each of Suraj A. Palakshappa, Jonathan O. Leptich, Mary Margaret Heaton and Caroline Wood, or any one of them, my true and lawful attorneys-in-fact for me and in my name for the purpose of executing on my behalf in any and all capacities a registration statement on Form S-8, or such other form as such attorneys-in-fact, or any of them, may deem necessary or desirable, relating to the Oxford Industries, Inc. Amended and Restated Long-Term Stock Incentive Plan (the “Registration Statement”), or any amendment (including post-effective amendments) or supplement thereto and any other instruments or documents filed as a part of or in connection therewith, and causing such Registration Statement, with all exhibits thereto, and any such amendment or supplement or other instrument or document, to be filed with the U.S. Securities and Exchange Commission pursuant to the Securities Act of 1933, as amended. In addition, each such attorney-in-fact shall have full power and authority to do and perform any and all acts on my behalf which may be necessary or desirable to complete, execute and timely file such Registration Statement with the U.S. Securities and Exchange Commission and any stock exchange or similar authority, and I hereby ratify and confirm all that said attorneys-in-fact, or any of them, may lawfully do or cause to be done by virtue hereof.</w:t>
      </w:r>
    </w:p>
    <w:p>
      <w:pPr>
        <w:pStyle w:val="TextBody"/>
        <w:bidi w:val="0"/>
        <w:spacing w:before="0" w:after="0"/>
        <w:jc w:val="left"/>
        <w:rPr/>
      </w:pPr>
      <w:r>
        <w:rPr/>
      </w:r>
    </w:p>
    <w:tbl>
      <w:tblPr>
        <w:tblW w:w="2487" w:type="dxa"/>
        <w:jc w:val="left"/>
        <w:tblInd w:w="0" w:type="dxa"/>
        <w:tblLayout w:type="fixed"/>
        <w:tblCellMar>
          <w:top w:w="28" w:type="dxa"/>
          <w:left w:w="28" w:type="dxa"/>
          <w:bottom w:w="28" w:type="dxa"/>
          <w:right w:w="28" w:type="dxa"/>
        </w:tblCellMar>
      </w:tblPr>
      <w:tblGrid>
        <w:gridCol w:w="124"/>
        <w:gridCol w:w="109"/>
        <w:gridCol w:w="109"/>
        <w:gridCol w:w="628"/>
        <w:gridCol w:w="628"/>
        <w:gridCol w:w="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Stephen S. Lanier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Stephen S. Lanier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 September 1, 2026</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POWER OF ATTORNEY</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a director of Oxford Industries, Inc. (the “Company”), does hereby constitute and appoint each of Suraj A. Palakshappa, Jonathan O. Leptich, Mary Margaret Heaton and Caroline Wood, or any one of them, my true and lawful attorneys-in-fact for me and in my name for the purpose of executing on my behalf in any and all capacities a registration statement on Form S-8, or such other form as such attorneys-in-fact, or any of them, may deem necessary or desirable, relating to the Oxford Industries, Inc. Amended and Restated Long-Term Stock Incentive Plan (the “Registration Statement”), or any amendment (including post-effective amendments) or supplement thereto and any other instruments or documents filed as a part of or in connection therewith, and causing such Registration Statement, with all exhibits thereto, and any such amendment or supplement or other instrument or document, to be filed with the U.S. Securities and Exchange Commission pursuant to the Securities Act of 1933, as amended. In addition, each such attorney-in-fact shall have full power and authority to do and perform any and all acts on my behalf which may be necessary or desirable to complete, execute and timely file such Registration Statement with the U.S. Securities and Exchange Commission and any stock exchange or similar authority, and I hereby ratify and confirm all that said attorneys-in-fact, or any of them, may lawfully do or cause to be done by virtue hereof.</w:t>
      </w:r>
    </w:p>
    <w:p>
      <w:pPr>
        <w:pStyle w:val="TextBody"/>
        <w:bidi w:val="0"/>
        <w:spacing w:before="0" w:after="0"/>
        <w:jc w:val="left"/>
        <w:rPr/>
      </w:pPr>
      <w:r>
        <w:rPr/>
      </w:r>
    </w:p>
    <w:tbl>
      <w:tblPr>
        <w:tblW w:w="2486" w:type="dxa"/>
        <w:jc w:val="left"/>
        <w:tblInd w:w="0" w:type="dxa"/>
        <w:tblLayout w:type="fixed"/>
        <w:tblCellMar>
          <w:top w:w="28" w:type="dxa"/>
          <w:left w:w="28" w:type="dxa"/>
          <w:bottom w:w="28" w:type="dxa"/>
          <w:right w:w="28" w:type="dxa"/>
        </w:tblCellMar>
      </w:tblPr>
      <w:tblGrid>
        <w:gridCol w:w="124"/>
        <w:gridCol w:w="109"/>
        <w:gridCol w:w="109"/>
        <w:gridCol w:w="627"/>
        <w:gridCol w:w="627"/>
        <w:gridCol w:w="8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Dennis M. Love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Dennis M. Love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 September 1, 2026</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POWER OF ATTORNEY</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a director of Oxford Industries, Inc. (the “Company”), does hereby constitute and appoint each of Suraj A. Palakshappa, Jonathan O. Leptich, Mary Margaret Heaton and Caroline Wood, or any one of them, my true and lawful attorneys-in-fact for me and in my name for the purpose of executing on my behalf in any and all capacities a registration statement on Form S-8, or such other form as such attorneys-in-fact, or any of them, may deem necessary or desirable, relating to the Oxford Industries, Inc. Amended and Restated Long-Term Stock Incentive Plan (the “Registration Statement”), or any amendment (including post-effective amendments) or supplement thereto and any other instruments or documents filed as a part of or in connection therewith, and causing such Registration Statement, with all exhibits thereto, and any such amendment or supplement or other instrument or document, to be filed with the U.S. Securities and Exchange Commission pursuant to the Securities Act of 1933, as amended. In addition, each such attorney-in-fact shall have full power and authority to do and perform any and all acts on my behalf which may be necessary or desirable to complete, execute and timely file such Registration Statement with the U.S. Securities and Exchange Commission and any stock exchange or similar authority, and I hereby ratify and confirm all that said attorneys-in-fact, or any of them, may lawfully do or cause to be done by virtue hereof.</w:t>
      </w:r>
    </w:p>
    <w:p>
      <w:pPr>
        <w:pStyle w:val="TextBody"/>
        <w:bidi w:val="0"/>
        <w:spacing w:before="0" w:after="0"/>
        <w:jc w:val="left"/>
        <w:rPr/>
      </w:pPr>
      <w:r>
        <w:rPr/>
      </w:r>
    </w:p>
    <w:tbl>
      <w:tblPr>
        <w:tblW w:w="2486" w:type="dxa"/>
        <w:jc w:val="left"/>
        <w:tblInd w:w="0" w:type="dxa"/>
        <w:tblLayout w:type="fixed"/>
        <w:tblCellMar>
          <w:top w:w="28" w:type="dxa"/>
          <w:left w:w="28" w:type="dxa"/>
          <w:bottom w:w="28" w:type="dxa"/>
          <w:right w:w="28" w:type="dxa"/>
        </w:tblCellMar>
      </w:tblPr>
      <w:tblGrid>
        <w:gridCol w:w="124"/>
        <w:gridCol w:w="109"/>
        <w:gridCol w:w="109"/>
        <w:gridCol w:w="626"/>
        <w:gridCol w:w="626"/>
        <w:gridCol w:w="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Clyde C. Tuggle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Clyde C. Tuggle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 September 1, 2026</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POWER OF ATTORNEY</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a director of Oxford Industries, Inc. (the “Company”), does hereby constitute and appoint each of Suraj A. Palakshappa, Jonathan O. Leptich, Mary Margaret Heaton and Caroline Wood, or any one of them, my true and lawful attorneys-in-fact for me and in my name for the purpose of executing on my behalf in any and all capacities a registration statement on Form S-8, or such other form as such attorneys-in-fact, or any of them, may deem necessary or desirable, relating to the Oxford Industries, Inc. Amended and Restated Long-Term Stock Incentive Plan (the “Registration Statement”), or any amendment (including post-effective amendments) or supplement thereto and any other instruments or documents filed as a part of or in connection therewith, and causing such Registration Statement, with all exhibits thereto, and any such amendment or supplement or other instrument or document, to be filed with the U.S. Securities and Exchange Commission pursuant to the Securities Act of 1933, as amended. In addition, each such attorney-in-fact shall have full power and authority to do and perform any and all acts on my behalf which may be necessary or desirable to complete, execute and timely file such Registration Statement with the U.S. Securities and Exchange Commission and any stock exchange or similar authority, and I hereby ratify and confirm all that said attorneys-in-fact, or any of them, may lawfully do or cause to be done by virtue hereof.</w:t>
      </w:r>
    </w:p>
    <w:p>
      <w:pPr>
        <w:pStyle w:val="TextBody"/>
        <w:bidi w:val="0"/>
        <w:spacing w:before="0" w:after="0"/>
        <w:jc w:val="left"/>
        <w:rPr/>
      </w:pPr>
      <w:r>
        <w:rPr/>
      </w:r>
    </w:p>
    <w:tbl>
      <w:tblPr>
        <w:tblW w:w="2487" w:type="dxa"/>
        <w:jc w:val="left"/>
        <w:tblInd w:w="0" w:type="dxa"/>
        <w:tblLayout w:type="fixed"/>
        <w:tblCellMar>
          <w:top w:w="28" w:type="dxa"/>
          <w:left w:w="28" w:type="dxa"/>
          <w:bottom w:w="28" w:type="dxa"/>
          <w:right w:w="28" w:type="dxa"/>
        </w:tblCellMar>
      </w:tblPr>
      <w:tblGrid>
        <w:gridCol w:w="124"/>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Carol B. Yancey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Carol B. Yancey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 September 1,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5288/000095012309042980/g20498sv8.htm" TargetMode="External"/><Relationship Id="rId3" Type="http://schemas.openxmlformats.org/officeDocument/2006/relationships/hyperlink" Target="https://www.sec.gov/Archives/edgar/data/75288/000095012309042980/g20498sv8.htm" TargetMode="External"/><Relationship Id="rId4" Type="http://schemas.openxmlformats.org/officeDocument/2006/relationships/hyperlink" Target="https://www.sec.gov/Archives/edgar/data/75288/000095012309042980/g20498sv8.htm" TargetMode="External"/><Relationship Id="rId5" Type="http://schemas.openxmlformats.org/officeDocument/2006/relationships/hyperlink" Target="https://www.sec.gov/Archives/edgar/data/75288/000007528825000084/s-8.htm" TargetMode="External"/><Relationship Id="rId6" Type="http://schemas.openxmlformats.org/officeDocument/2006/relationships/hyperlink" Target="https://www.sec.gov/Archives/edgar/data/75288/000007528825000084/s-8.htm" TargetMode="External"/><Relationship Id="rId7" Type="http://schemas.openxmlformats.org/officeDocument/2006/relationships/hyperlink" Target="https://www.sec.gov/Archives/edgar/data/75288/000007528825000084/s-8.htm" TargetMode="External"/><Relationship Id="rId8" Type="http://schemas.openxmlformats.org/officeDocument/2006/relationships/hyperlink" Target="https://www.sec.gov/Archives/edgar/data/75288/000007528825000084/s-8.htm" TargetMode="External"/><Relationship Id="rId9" Type="http://schemas.openxmlformats.org/officeDocument/2006/relationships/hyperlink" Target="https://www.sec.gov/ix?doc=/Archives/edgar/data/0000075288/000007528826000026/oxm-20260131.htm" TargetMode="External"/><Relationship Id="rId10" Type="http://schemas.openxmlformats.org/officeDocument/2006/relationships/hyperlink" Target="https://www.sec.gov/ix?doc=/Archives/edgar/data/0000075288/000007528826000026/oxm-20260131.htm" TargetMode="External"/><Relationship Id="rId11" Type="http://schemas.openxmlformats.org/officeDocument/2006/relationships/hyperlink" Target="https://www.sec.gov/ix?doc=/Archives/edgar/data/0000075288/000007528826000026/oxm-20260131.htm" TargetMode="External"/><Relationship Id="rId12" Type="http://schemas.openxmlformats.org/officeDocument/2006/relationships/hyperlink" Target="https://www.sec.gov/ix?doc=/Archives/edgar/data/0000075288/000007528826000026/oxm-20260131.htm" TargetMode="External"/><Relationship Id="rId13" Type="http://schemas.openxmlformats.org/officeDocument/2006/relationships/hyperlink" Target="https://www.sec.gov/ix?doc=/Archives/edgar/data/0000075288/000007528826000026/oxm-20260131.htm" TargetMode="External"/><Relationship Id="rId14" Type="http://schemas.openxmlformats.org/officeDocument/2006/relationships/hyperlink" Target="https://www.sec.gov/ix?doc=/Archives/edgar/data/0000075288/000007528826000026/oxm-20260131.htm" TargetMode="External"/><Relationship Id="rId15" Type="http://schemas.openxmlformats.org/officeDocument/2006/relationships/hyperlink" Target="https://www.sec.gov/ix?doc=/Archives/edgar/data/0000075288/000007528826000026/oxm-20260131.htm" TargetMode="External"/><Relationship Id="rId16" Type="http://schemas.openxmlformats.org/officeDocument/2006/relationships/hyperlink" Target="https://www.sec.gov/ix?doc=/Archives/edgar/data/0000075288/000007528826000058/oxm-20260502.htm" TargetMode="External"/><Relationship Id="rId17" Type="http://schemas.openxmlformats.org/officeDocument/2006/relationships/hyperlink" Target="https://www.sec.gov/ix?doc=/Archives/edgar/data/0000075288/000007528826000058/oxm-20260502.htm" TargetMode="External"/><Relationship Id="rId18" Type="http://schemas.openxmlformats.org/officeDocument/2006/relationships/hyperlink" Target="https://www.sec.gov/ix?doc=/Archives/edgar/data/0000075288/000007528826000058/oxm-20260502.htm" TargetMode="External"/><Relationship Id="rId19" Type="http://schemas.openxmlformats.org/officeDocument/2006/relationships/hyperlink" Target="https://www.sec.gov/ix?doc=/Archives/edgar/data/0000075288/000007528826000058/oxm-20260502.htm" TargetMode="External"/><Relationship Id="rId20" Type="http://schemas.openxmlformats.org/officeDocument/2006/relationships/hyperlink" Target="https://www.sec.gov/ix?doc=/Archives/edgar/data/0000075288/000007528826000058/oxm-20260502.htm" TargetMode="External"/><Relationship Id="rId21" Type="http://schemas.openxmlformats.org/officeDocument/2006/relationships/hyperlink" Target="https://www.sec.gov/ix?doc=/Archives/edgar/data/0000075288/000007528826000058/oxm-20260502.htm" TargetMode="External"/><Relationship Id="rId22" Type="http://schemas.openxmlformats.org/officeDocument/2006/relationships/hyperlink" Target="https://www.sec.gov/ix?doc=/Archives/edgar/data/0000075288/000007528826000058/oxm-20260502.htm" TargetMode="External"/><Relationship Id="rId23" Type="http://schemas.openxmlformats.org/officeDocument/2006/relationships/hyperlink" Target="https://www.sec.gov/ix?doc=/Archives/edgar/data/0000075288/000007528826000058/oxm-20260502.htm" TargetMode="External"/><Relationship Id="rId24" Type="http://schemas.openxmlformats.org/officeDocument/2006/relationships/hyperlink" Target="https://www.sec.gov/ix?doc=/Archives/edgar/data/0000075288/000007528826000084/oxm-20260801.htm" TargetMode="External"/><Relationship Id="rId25" Type="http://schemas.openxmlformats.org/officeDocument/2006/relationships/hyperlink" Target="https://www.sec.gov/ix?doc=/Archives/edgar/data/0000075288/000007528826000084/oxm-20260801.htm" TargetMode="External"/><Relationship Id="rId26" Type="http://schemas.openxmlformats.org/officeDocument/2006/relationships/hyperlink" Target="https://www.sec.gov/ix?doc=/Archives/edgar/data/0000075288/000007528826000084/oxm-20260801.htm" TargetMode="External"/><Relationship Id="rId27" Type="http://schemas.openxmlformats.org/officeDocument/2006/relationships/hyperlink" Target="https://www.sec.gov/ix?doc=/Archives/edgar/data/0000075288/000007528826000084/oxm-20260801.htm" TargetMode="External"/><Relationship Id="rId28" Type="http://schemas.openxmlformats.org/officeDocument/2006/relationships/hyperlink" Target="https://www.sec.gov/ix?doc=/Archives/edgar/data/0000075288/000007528826000084/oxm-20260801.htm" TargetMode="External"/><Relationship Id="rId29" Type="http://schemas.openxmlformats.org/officeDocument/2006/relationships/hyperlink" Target="https://www.sec.gov/ix?doc=/Archives/edgar/data/0000075288/000007528826000023/oxm-20260326.htm" TargetMode="External"/><Relationship Id="rId30" Type="http://schemas.openxmlformats.org/officeDocument/2006/relationships/hyperlink" Target="https://www.sec.gov/ix?doc=/Archives/edgar/data/0000075288/000007528826000023/oxm-20260326.htm" TargetMode="External"/><Relationship Id="rId31" Type="http://schemas.openxmlformats.org/officeDocument/2006/relationships/hyperlink" Target="https://www.sec.gov/ix?doc=/Archives/edgar/data/0000075288/000007528826000023/oxm-20260326.htm" TargetMode="External"/><Relationship Id="rId32" Type="http://schemas.openxmlformats.org/officeDocument/2006/relationships/hyperlink" Target="https://www.sec.gov/ix?doc=/Archives/edgar/data/0000075288/000007528826000023/oxm-20260326.htm" TargetMode="External"/><Relationship Id="rId33" Type="http://schemas.openxmlformats.org/officeDocument/2006/relationships/hyperlink" Target="https://www.sec.gov/ix?doc=/Archives/edgar/data/0000075288/000007528826000055/oxm-20260610.htm" TargetMode="External"/><Relationship Id="rId34" Type="http://schemas.openxmlformats.org/officeDocument/2006/relationships/hyperlink" Target="https://www.sec.gov/ix?doc=/Archives/edgar/data/0000075288/000007528826000055/oxm-20260610.htm" TargetMode="External"/><Relationship Id="rId35" Type="http://schemas.openxmlformats.org/officeDocument/2006/relationships/hyperlink" Target="https://www.sec.gov/ix?doc=/Archives/edgar/data/0000075288/000007528826000055/oxm-20260610.htm" TargetMode="External"/><Relationship Id="rId36" Type="http://schemas.openxmlformats.org/officeDocument/2006/relationships/hyperlink" Target="https://www.sec.gov/ix?doc=/Archives/edgar/data/0000075288/000007528826000055/oxm-20260610.htm" TargetMode="External"/><Relationship Id="rId37" Type="http://schemas.openxmlformats.org/officeDocument/2006/relationships/hyperlink" Target="https://www.sec.gov/ix?doc=/Archives/edgar/data/0000075288/000007528826000062/oxm-20260623.htm" TargetMode="External"/><Relationship Id="rId38" Type="http://schemas.openxmlformats.org/officeDocument/2006/relationships/hyperlink" Target="https://www.sec.gov/ix?doc=/Archives/edgar/data/0000075288/000007528826000082/oxm-20260903.htm" TargetMode="External"/><Relationship Id="rId39" Type="http://schemas.openxmlformats.org/officeDocument/2006/relationships/hyperlink" Target="https://www.sec.gov/Archives/edgar/data/75288/000007528817000047/oxmex31articlesasamendedth.htm" TargetMode="External"/><Relationship Id="rId40" Type="http://schemas.openxmlformats.org/officeDocument/2006/relationships/hyperlink" Target="https://www.sec.gov/Archives/edgar/data/75288/000007528826000058/oxm-20260502xexx32.htm" TargetMode="External"/><Relationship Id="rId41" Type="http://schemas.openxmlformats.org/officeDocument/2006/relationships/hyperlink" Target="https://www.sec.gov/Archives/edgar/data/75288/000007528826000058/oxm-20260502xexx32.htm" TargetMode="External"/><Relationship Id="rId42" Type="http://schemas.openxmlformats.org/officeDocument/2006/relationships/hyperlink" Target="https://www.sec.gov/Archives/edgar/data/75288/000007528826000058/oxm-20260502xexx32.htm" TargetMode="External"/><Relationship Id="rId43" Type="http://schemas.openxmlformats.org/officeDocument/2006/relationships/hyperlink" Target="https://www.sec.gov/Archives/edgar/data/75288/000007528826000084/oxm-20260801xexx101.htm" TargetMode="External"/><Relationship Id="rId44" Type="http://schemas.openxmlformats.org/officeDocument/2006/relationships/hyperlink" Target="https://www.sec.gov/Archives/edgar/data/75288/000007528826000084/oxm-20260801xexx101.htm" TargetMode="External"/><Relationship Id="rId45" Type="http://schemas.openxmlformats.org/officeDocument/2006/relationships/hyperlink" Target="https://www.sec.gov/Archives/edgar/data/75288/000007528826000084/oxm-20260801xexx101.htm" TargetMode="External"/><Relationship Id="rId46" Type="http://schemas.openxmlformats.org/officeDocument/2006/relationships/hyperlink" Target="https://www.sec.gov/Archives/edgar/data/75288/000007528826000084/oxm-20260801xexx101.htm" TargetMode="External"/><Relationship Id="rId47" Type="http://schemas.openxmlformats.org/officeDocument/2006/relationships/hyperlink" Target="https://www.sec.gov/Archives/edgar/data/75288/000007528826000084/oxm-20260801xexx101.htm" TargetMode="External"/><Relationship Id="rId48" Type="http://schemas.openxmlformats.org/officeDocument/2006/relationships/hyperlink" Target="https://www.sec.gov/Archives/edgar/data/75288/000007528826000084/oxm-20260801xexx101.htm" TargetMode="External"/><Relationship Id="rId49" Type="http://schemas.openxmlformats.org/officeDocument/2006/relationships/hyperlink" Target="https://www.sec.gov/Archives/edgar/data/75288/000007528826000084/oxm-20260801xexx101.htm" TargetMode="External"/><Relationship Id="rId50" Type="http://schemas.openxmlformats.org/officeDocument/2006/relationships/hyperlink" Target="https://www.sec.gov/Archives/edgar/data/75288/000007528826000084/oxm-20260801xexx101.htm" TargetMode="External"/><Relationship Id="rId51" Type="http://schemas.openxmlformats.org/officeDocument/2006/relationships/hyperlink" Target="https://www.sec.gov/Archives/edgar/data/75288/000007528826000084/oxm-20260801xexx101.htm" TargetMode="External"/><Relationship Id="rId52" Type="http://schemas.openxmlformats.org/officeDocument/2006/relationships/hyperlink" Target="https://www.sec.gov/Archives/edgar/data/75288/000007528826000084/oxm-20260801xexx101.htm" TargetMode="External"/><Relationship Id="rId53" Type="http://schemas.openxmlformats.org/officeDocument/2006/relationships/hyperlink" Target="https://www.sec.gov/Archives/edgar/data/75288/000007528826000084/oxm-20260801xexx101.htm" TargetMode="External"/><Relationship Id="rId54" Type="http://schemas.openxmlformats.org/officeDocument/2006/relationships/image" Target="media/image1.pn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4429</Words>
  <Characters>23640</Characters>
  <CharactersWithSpaces>27899</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