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0</w:t>
      </w:r>
    </w:p>
    <w:p>
      <w:pPr>
        <w:spacing w:after="0" w:line="238" w:lineRule="auto"/>
        <w:rPr>
          <w:sz w:val="20"/>
          <w:szCs w:val="20"/>
          <w:color w:val="auto"/>
        </w:rPr>
      </w:pPr>
      <w:r>
        <w:rPr>
          <w:rFonts w:ascii="Courier New" w:cs="Courier New" w:eastAsia="Courier New" w:hAnsi="Courier New"/>
          <w:sz w:val="18"/>
          <w:szCs w:val="18"/>
          <w:color w:val="auto"/>
        </w:rPr>
        <w:t>OXFORD INDUSTRIES INC</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#691497309</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#691497309</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rPr>
          <w:sz w:val="20"/>
          <w:szCs w:val="20"/>
          <w:color w:val="auto"/>
        </w:rPr>
      </w:pPr>
      <w:r>
        <w:rPr>
          <w:rFonts w:ascii="Courier New" w:cs="Courier New" w:eastAsia="Courier New" w:hAnsi="Courier New"/>
          <w:sz w:val="18"/>
          <w:szCs w:val="18"/>
          <w:color w:val="auto"/>
        </w:rPr>
        <w:t>Item 4: Delaware</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1,024,396</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1,024,396</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6.209%</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#691497309</w:t>
      </w:r>
    </w:p>
    <w:p>
      <w:pPr>
        <w:spacing w:after="0" w:line="238" w:lineRule="auto"/>
        <w:rPr>
          <w:sz w:val="20"/>
          <w:szCs w:val="20"/>
          <w:color w:val="auto"/>
        </w:rPr>
      </w:pPr>
      <w:r>
        <w:rPr>
          <w:rFonts w:ascii="Courier New" w:cs="Courier New" w:eastAsia="Courier New" w:hAnsi="Courier New"/>
          <w:sz w:val="18"/>
          <w:szCs w:val="18"/>
          <w:color w:val="auto"/>
        </w:rPr>
        <w:t>Item 1: Reporting Person - Edward C. Johnson 3d</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1,024,396</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1,024,396</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ind w:left="420"/>
              <w:spacing w:after="0" w:line="202" w:lineRule="exact"/>
              <w:rPr>
                <w:sz w:val="20"/>
                <w:szCs w:val="20"/>
                <w:color w:val="auto"/>
              </w:rPr>
            </w:pPr>
            <w:r>
              <w:rPr>
                <w:rFonts w:ascii="Courier New" w:cs="Courier New" w:eastAsia="Courier New" w:hAnsi="Courier New"/>
                <w:sz w:val="18"/>
                <w:szCs w:val="18"/>
                <w:color w:val="auto"/>
                <w:w w:val="92"/>
              </w:rPr>
              <w:t>6.209%</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OXFORD INDUSTRIES INC</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222 Piedmont Avenue, N.E.</w:t>
      </w:r>
    </w:p>
    <w:p>
      <w:pPr>
        <w:ind w:left="1700"/>
        <w:spacing w:after="0" w:line="238" w:lineRule="auto"/>
        <w:tabs>
          <w:tab w:leader="none" w:pos="3040" w:val="left"/>
        </w:tabs>
        <w:rPr>
          <w:sz w:val="20"/>
          <w:szCs w:val="20"/>
          <w:color w:val="auto"/>
        </w:rPr>
      </w:pPr>
      <w:r>
        <w:rPr>
          <w:rFonts w:ascii="Courier New" w:cs="Courier New" w:eastAsia="Courier New" w:hAnsi="Courier New"/>
          <w:sz w:val="18"/>
          <w:szCs w:val="18"/>
          <w:color w:val="auto"/>
        </w:rPr>
        <w:t>Atlanta, GA</w:t>
        <w:tab/>
        <w:t>30308</w:t>
      </w:r>
    </w:p>
    <w:p>
      <w:pPr>
        <w:spacing w:after="0" w:line="200" w:lineRule="exact"/>
        <w:rPr>
          <w:sz w:val="24"/>
          <w:szCs w:val="24"/>
          <w:color w:val="auto"/>
        </w:rPr>
      </w:pPr>
    </w:p>
    <w:p>
      <w:pPr>
        <w:spacing w:after="0" w:line="204"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LLC</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82 Devonshire Street, Boston,</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Massachusetts</w:t>
        <w:tab/>
        <w:t>02109</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691497309</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21" w:lineRule="exact"/>
        <w:rPr>
          <w:sz w:val="24"/>
          <w:szCs w:val="24"/>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and the person filing, FMR LLC, is a parent holding company in accordance with Section 240.13d-1(b)(ii)(G). (Note: See Item 7).</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860"/>
        <w:spacing w:after="0"/>
        <w:tabs>
          <w:tab w:leader="none" w:pos="1680" w:val="left"/>
          <w:tab w:leader="none" w:pos="504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Amount Beneficially Owned:</w:t>
      </w:r>
      <w:r>
        <w:rPr>
          <w:sz w:val="20"/>
          <w:szCs w:val="20"/>
          <w:color w:val="auto"/>
        </w:rPr>
        <w:tab/>
      </w:r>
      <w:r>
        <w:rPr>
          <w:rFonts w:ascii="Courier New" w:cs="Courier New" w:eastAsia="Courier New" w:hAnsi="Courier New"/>
          <w:sz w:val="16"/>
          <w:szCs w:val="16"/>
          <w:color w:val="auto"/>
        </w:rPr>
        <w:t>1,024,396</w:t>
      </w:r>
    </w:p>
    <w:p>
      <w:pPr>
        <w:sectPr>
          <w:pgSz w:w="11900" w:h="16838" w:orient="portrait"/>
          <w:cols w:equalWidth="0" w:num="1">
            <w:col w:w="10219"/>
          </w:cols>
          <w:pgMar w:left="240" w:top="244" w:right="1440" w:bottom="0" w:gutter="0" w:footer="0" w:header="0"/>
        </w:sectPr>
      </w:pPr>
    </w:p>
    <w:bookmarkStart w:id="1" w:name="page2"/>
    <w:bookmarkEnd w:id="1"/>
    <w:p>
      <w:pPr>
        <w:ind w:left="860"/>
        <w:spacing w:after="0"/>
        <w:tabs>
          <w:tab w:leader="none" w:pos="1680" w:val="left"/>
          <w:tab w:leader="none" w:pos="420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Percent of Class:</w:t>
      </w:r>
      <w:r>
        <w:rPr>
          <w:sz w:val="20"/>
          <w:szCs w:val="20"/>
          <w:color w:val="auto"/>
        </w:rPr>
        <w:tab/>
      </w:r>
      <w:r>
        <w:rPr>
          <w:rFonts w:ascii="Courier New" w:cs="Courier New" w:eastAsia="Courier New" w:hAnsi="Courier New"/>
          <w:sz w:val="16"/>
          <w:szCs w:val="16"/>
          <w:color w:val="auto"/>
        </w:rPr>
        <w:t>6.209%</w:t>
      </w:r>
    </w:p>
    <w:p>
      <w:pPr>
        <w:spacing w:after="0" w:line="207"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as to which such</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136" w:right="1440" w:bottom="0" w:gutter="0" w:footer="0" w:header="0"/>
        </w:sect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ectPr>
          <w:pgSz w:w="11900" w:h="16838" w:orient="portrait"/>
          <w:cols w:equalWidth="0" w:num="2">
            <w:col w:w="1160" w:space="540"/>
            <w:col w:w="8519"/>
          </w:cols>
          <w:pgMar w:left="240" w:top="136" w:right="1440" w:bottom="0" w:gutter="0" w:footer="0" w:header="0"/>
          <w:type w:val="continuous"/>
        </w:sectPr>
      </w:pPr>
    </w:p>
    <w:p>
      <w:pPr>
        <w:spacing w:after="0" w:line="1"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1,024,396</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3359" w:firstLine="843"/>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OXFORD INDUSTRIES INC.</w:t>
      </w:r>
    </w:p>
    <w:p>
      <w:pPr>
        <w:spacing w:after="0" w:line="6" w:lineRule="exact"/>
        <w:rPr>
          <w:sz w:val="20"/>
          <w:szCs w:val="20"/>
          <w:color w:val="auto"/>
        </w:rPr>
      </w:pPr>
    </w:p>
    <w:p>
      <w:pPr>
        <w:ind w:right="3999"/>
        <w:spacing w:after="0" w:line="268" w:lineRule="auto"/>
        <w:rPr>
          <w:sz w:val="20"/>
          <w:szCs w:val="20"/>
          <w:color w:val="auto"/>
        </w:rPr>
      </w:pPr>
      <w:r>
        <w:rPr>
          <w:rFonts w:ascii="Courier New" w:cs="Courier New" w:eastAsia="Courier New" w:hAnsi="Courier New"/>
          <w:sz w:val="16"/>
          <w:szCs w:val="16"/>
          <w:color w:val="auto"/>
        </w:rPr>
        <w:t>The interest of one person, Fidelity Capital Appreciation Fund, an investment company registered under the Investment Company Act of 1940, in the Common Stock of OXFORD INDUSTRIES INC, amounted to 1,014,141 shares or 6.147%</w:t>
      </w:r>
    </w:p>
    <w:p>
      <w:pPr>
        <w:spacing w:after="0" w:line="234" w:lineRule="auto"/>
        <w:rPr>
          <w:sz w:val="20"/>
          <w:szCs w:val="20"/>
          <w:color w:val="auto"/>
        </w:rPr>
      </w:pPr>
      <w:r>
        <w:rPr>
          <w:rFonts w:ascii="Courier New" w:cs="Courier New" w:eastAsia="Courier New" w:hAnsi="Courier New"/>
          <w:sz w:val="18"/>
          <w:szCs w:val="18"/>
          <w:color w:val="auto"/>
        </w:rPr>
        <w:t>of the total outstanding Common Stock at December 31, 2011.</w:t>
      </w:r>
    </w:p>
    <w:p>
      <w:pPr>
        <w:spacing w:after="0" w:line="207"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 A.</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tabs>
          <w:tab w:leader="none" w:pos="2620" w:val="left"/>
        </w:tabs>
        <w:rPr>
          <w:sz w:val="20"/>
          <w:szCs w:val="20"/>
          <w:color w:val="auto"/>
        </w:rPr>
      </w:pPr>
      <w:r>
        <w:rPr>
          <w:rFonts w:ascii="Courier New" w:cs="Courier New" w:eastAsia="Courier New" w:hAnsi="Courier New"/>
          <w:sz w:val="18"/>
          <w:szCs w:val="18"/>
          <w:color w:val="auto"/>
        </w:rPr>
        <w:t>Not applicable.</w:t>
      </w:r>
      <w:r>
        <w:rPr>
          <w:sz w:val="20"/>
          <w:szCs w:val="20"/>
          <w:color w:val="auto"/>
        </w:rPr>
        <w:tab/>
      </w:r>
      <w:r>
        <w:rPr>
          <w:rFonts w:ascii="Courier New" w:cs="Courier New" w:eastAsia="Courier New" w:hAnsi="Courier New"/>
          <w:sz w:val="16"/>
          <w:szCs w:val="16"/>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w:t>
      </w:r>
    </w:p>
    <w:p>
      <w:pPr>
        <w:spacing w:after="0" w:line="1"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purpose of and do not have the effect of changing or influencing the control of the issuer of such securities and were not acquired in connection with or as a participant in any transaction having such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13, 2012</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 Scott C. Goebel</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Scott C. Goebel</w:t>
      </w:r>
    </w:p>
    <w:p>
      <w:pPr>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spacing w:after="0" w:line="5" w:lineRule="exact"/>
        <w:rPr>
          <w:sz w:val="20"/>
          <w:szCs w:val="20"/>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effective as of June 1, 2008 by and on behalf of FMR LLC and its direct and indirect subsidiaries</w:t>
      </w: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ectPr>
          <w:pgSz w:w="11900" w:h="16838" w:orient="portrait"/>
          <w:cols w:equalWidth="0" w:num="1">
            <w:col w:w="10219"/>
          </w:cols>
          <w:pgMar w:left="240" w:top="136" w:right="1440" w:bottom="0" w:gutter="0" w:footer="0" w:header="0"/>
          <w:type w:val="continuous"/>
        </w:sectPr>
      </w:pPr>
    </w:p>
    <w:bookmarkStart w:id="2" w:name="page3"/>
    <w:bookmarkEnd w:id="2"/>
    <w:p>
      <w:pPr>
        <w:ind w:right="3579" w:firstLine="843"/>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LLC and an investment adviser registered under Section 203 of the Investment Advisers Act</w:t>
      </w:r>
    </w:p>
    <w:p>
      <w:pPr>
        <w:spacing w:after="0" w:line="6"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8"/>
          <w:szCs w:val="18"/>
          <w:color w:val="auto"/>
        </w:rPr>
        <w:t>of 1940, is the beneficial owner of 1,024,396 shares or 6.209% of the Common Stock outstanding of OXFORD</w:t>
      </w:r>
    </w:p>
    <w:p>
      <w:pPr>
        <w:spacing w:after="0" w:line="6" w:lineRule="exact"/>
        <w:rPr>
          <w:sz w:val="20"/>
          <w:szCs w:val="20"/>
          <w:color w:val="auto"/>
        </w:rPr>
      </w:pPr>
    </w:p>
    <w:p>
      <w:pPr>
        <w:ind w:right="3779"/>
        <w:spacing w:after="0" w:line="279" w:lineRule="auto"/>
        <w:rPr>
          <w:sz w:val="20"/>
          <w:szCs w:val="20"/>
          <w:color w:val="auto"/>
        </w:rPr>
      </w:pPr>
      <w:r>
        <w:rPr>
          <w:rFonts w:ascii="Courier New" w:cs="Courier New" w:eastAsia="Courier New" w:hAnsi="Courier New"/>
          <w:sz w:val="16"/>
          <w:szCs w:val="16"/>
          <w:color w:val="auto"/>
        </w:rPr>
        <w:t>INDUSTRIES INC ("the Company") as a result of acting as investment adviser to various investment companies registered under Section 8 of the Investment Company Act of 1940.</w:t>
      </w:r>
    </w:p>
    <w:p>
      <w:pPr>
        <w:spacing w:after="0" w:line="178" w:lineRule="exact"/>
        <w:rPr>
          <w:sz w:val="20"/>
          <w:szCs w:val="20"/>
          <w:color w:val="auto"/>
        </w:rPr>
      </w:pPr>
    </w:p>
    <w:p>
      <w:pPr>
        <w:ind w:right="4099" w:firstLine="843"/>
        <w:spacing w:after="0" w:line="273" w:lineRule="auto"/>
        <w:rPr>
          <w:sz w:val="20"/>
          <w:szCs w:val="20"/>
          <w:color w:val="auto"/>
        </w:rPr>
      </w:pPr>
      <w:r>
        <w:rPr>
          <w:rFonts w:ascii="Courier New" w:cs="Courier New" w:eastAsia="Courier New" w:hAnsi="Courier New"/>
          <w:sz w:val="16"/>
          <w:szCs w:val="16"/>
          <w:color w:val="auto"/>
        </w:rPr>
        <w:t>The ownership of one investment company, Fidelity Capital Appreciation Fund, amounted to 1,014,141 shares or 6.147% of the Common Stock outstanding. Fidelity Capital Appreciation Fund has its principal business office at 82 Devonshire Street, Boston, Massachusetts 02109.</w:t>
      </w:r>
    </w:p>
    <w:p>
      <w:pPr>
        <w:spacing w:after="0" w:line="185" w:lineRule="exact"/>
        <w:rPr>
          <w:sz w:val="20"/>
          <w:szCs w:val="20"/>
          <w:color w:val="auto"/>
        </w:rPr>
      </w:pPr>
    </w:p>
    <w:p>
      <w:pPr>
        <w:ind w:right="4199" w:firstLine="843"/>
        <w:spacing w:after="0" w:line="236" w:lineRule="auto"/>
        <w:rPr>
          <w:sz w:val="20"/>
          <w:szCs w:val="20"/>
          <w:color w:val="auto"/>
        </w:rPr>
      </w:pPr>
      <w:r>
        <w:rPr>
          <w:rFonts w:ascii="Courier New" w:cs="Courier New" w:eastAsia="Courier New" w:hAnsi="Courier New"/>
          <w:sz w:val="18"/>
          <w:szCs w:val="18"/>
          <w:color w:val="auto"/>
        </w:rPr>
        <w:t>Edward C. Johnson 3d and FMR LLC, through its control of Fidelity, and the funds each has sole power to dispose of the 1,024,396 shares owned by the Funds.</w:t>
      </w:r>
    </w:p>
    <w:p>
      <w:pPr>
        <w:spacing w:after="0" w:line="209" w:lineRule="exact"/>
        <w:rPr>
          <w:sz w:val="20"/>
          <w:szCs w:val="20"/>
          <w:color w:val="auto"/>
        </w:rPr>
      </w:pPr>
    </w:p>
    <w:p>
      <w:pPr>
        <w:ind w:right="4099" w:firstLine="843"/>
        <w:spacing w:after="0" w:line="268" w:lineRule="auto"/>
        <w:rPr>
          <w:sz w:val="20"/>
          <w:szCs w:val="20"/>
          <w:color w:val="auto"/>
        </w:rPr>
      </w:pPr>
      <w:r>
        <w:rPr>
          <w:rFonts w:ascii="Courier New" w:cs="Courier New" w:eastAsia="Courier New" w:hAnsi="Courier New"/>
          <w:sz w:val="16"/>
          <w:szCs w:val="16"/>
          <w:color w:val="auto"/>
        </w:rPr>
        <w:t>Members of the family of Edward C. Johnson 3d, Chairman of FMR LLC, are the predominant owners, directly or through trusts, of Series B voting common shares of FMR LLC, representing 49% of the voting power of FMR LLC.</w:t>
      </w:r>
    </w:p>
    <w:p>
      <w:pPr>
        <w:spacing w:after="0" w:line="1"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08"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8"/>
          <w:szCs w:val="18"/>
          <w:color w:val="auto"/>
        </w:rPr>
        <w:t>Neither FMR LLC nor Edward C. Johnson 3d,</w:t>
      </w:r>
    </w:p>
    <w:p>
      <w:pPr>
        <w:spacing w:after="0" w:line="4"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6"/>
          <w:szCs w:val="16"/>
          <w:color w:val="auto"/>
        </w:rPr>
        <w:t>Chairman of FMR LLC, has the sole power to vote or direct</w:t>
      </w:r>
    </w:p>
    <w:p>
      <w:pPr>
        <w:spacing w:after="0" w:line="21" w:lineRule="exact"/>
        <w:rPr>
          <w:sz w:val="20"/>
          <w:szCs w:val="20"/>
          <w:color w:val="auto"/>
        </w:rPr>
      </w:pPr>
    </w:p>
    <w:p>
      <w:pPr>
        <w:ind w:right="3679"/>
        <w:spacing w:after="0" w:line="275" w:lineRule="auto"/>
        <w:rPr>
          <w:sz w:val="20"/>
          <w:szCs w:val="20"/>
          <w:color w:val="auto"/>
        </w:rPr>
      </w:pPr>
      <w:r>
        <w:rPr>
          <w:rFonts w:ascii="Courier New" w:cs="Courier New" w:eastAsia="Courier New" w:hAnsi="Courier New"/>
          <w:sz w:val="16"/>
          <w:szCs w:val="16"/>
          <w:color w:val="auto"/>
        </w:rPr>
        <w:t>the voting of the shares owned directly by the Fidelity Funds, which power resides with the Funds' Boards of Trustees. Fidelity carries out the voting of the shares under written guidelines established by the Funds' Boards of Trustees.</w:t>
      </w:r>
    </w:p>
    <w:p>
      <w:pPr>
        <w:spacing w:after="0" w:line="200" w:lineRule="exact"/>
        <w:rPr>
          <w:sz w:val="20"/>
          <w:szCs w:val="20"/>
          <w:color w:val="auto"/>
        </w:rPr>
      </w:pPr>
    </w:p>
    <w:p>
      <w:pPr>
        <w:spacing w:after="0" w:line="38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3479" w:firstLine="843"/>
        <w:spacing w:after="0" w:line="237" w:lineRule="auto"/>
        <w:rPr>
          <w:sz w:val="20"/>
          <w:szCs w:val="20"/>
          <w:color w:val="auto"/>
        </w:rPr>
      </w:pPr>
      <w:r>
        <w:rPr>
          <w:rFonts w:ascii="Courier New" w:cs="Courier New" w:eastAsia="Courier New" w:hAnsi="Courier New"/>
          <w:sz w:val="18"/>
          <w:szCs w:val="18"/>
          <w:color w:val="auto"/>
        </w:rPr>
        <w:t>The undersigned persons, on February 13, 2012, agree and consent to the joint filing on their behalf of this Schedule 13G in connection with their beneficial ownership of the Common Stock of OXFORD INDUSTRIES INC at December 31, 2011.</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36" w:lineRule="auto"/>
        <w:rPr>
          <w:sz w:val="20"/>
          <w:szCs w:val="20"/>
          <w:color w:val="auto"/>
        </w:rPr>
      </w:pPr>
      <w:r>
        <w:rPr>
          <w:rFonts w:ascii="Courier New" w:cs="Courier New" w:eastAsia="Courier New" w:hAnsi="Courier New"/>
          <w:sz w:val="18"/>
          <w:szCs w:val="18"/>
          <w:color w:val="auto"/>
        </w:rPr>
        <w:t>Duly authorized under Power of Attorney effective as of June 1, 2008, by and on behalf of FMR LLC and its direct and indirect subsidiaries</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June 1, 2008, by and on behalf of Edward C. Johnson 3d</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Management &amp; Research Company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ind w:left="860"/>
        <w:spacing w:after="0"/>
        <w:rPr>
          <w:sz w:val="20"/>
          <w:szCs w:val="20"/>
          <w:color w:val="auto"/>
        </w:rPr>
      </w:pPr>
      <w:r>
        <w:rPr>
          <w:rFonts w:ascii="Courier New" w:cs="Courier New" w:eastAsia="Courier New" w:hAnsi="Courier New"/>
          <w:sz w:val="18"/>
          <w:szCs w:val="18"/>
          <w:color w:val="auto"/>
        </w:rPr>
        <w:t>Senior V.P. and General Counsel</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Capital Appreciation Fund</w:t>
      </w:r>
    </w:p>
    <w:p>
      <w:pPr>
        <w:sectPr>
          <w:pgSz w:w="11900" w:h="16838" w:orient="portrait"/>
          <w:cols w:equalWidth="0" w:num="1">
            <w:col w:w="10219"/>
          </w:cols>
          <w:pgMar w:left="240" w:top="750"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By /s/ Scott C. Goebel</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Scott C. Goebel</w:t>
      </w:r>
    </w:p>
    <w:p>
      <w:pPr>
        <w:spacing w:after="0" w:line="238" w:lineRule="auto"/>
        <w:rPr>
          <w:sz w:val="20"/>
          <w:szCs w:val="20"/>
          <w:color w:val="auto"/>
        </w:rPr>
      </w:pPr>
      <w:r>
        <w:rPr>
          <w:rFonts w:ascii="Courier New" w:cs="Courier New" w:eastAsia="Courier New" w:hAnsi="Courier New"/>
          <w:sz w:val="18"/>
          <w:szCs w:val="18"/>
          <w:color w:val="auto"/>
        </w:rPr>
        <w:t>Secretary</w:t>
      </w:r>
    </w:p>
    <w:sectPr>
      <w:pgSz w:w="11900" w:h="16838" w:orient="portrait"/>
      <w:cols w:equalWidth="0" w:num="1">
        <w:col w:w="9359"/>
      </w:cols>
      <w:pgMar w:left="110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2019-12-09T07:23:26Z</dcterms:created>
  <dcterms:modified xsi:type="dcterms:W3CDTF">2019-12-09T07:23:26Z</dcterms:modified>
</cp:coreProperties>
</file>