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83"/>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Oxford Industries,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par value $1.00 per share</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691497309</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240" w:type="dxa"/>
        <w:tblCellMar>
          <w:top w:w="0" w:type="dxa"/>
          <w:left w:w="0" w:type="dxa"/>
          <w:bottom w:w="0" w:type="dxa"/>
          <w:right w:w="0" w:type="dxa"/>
        </w:tblCellMar>
      </w:tblP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Names of Reporting Persons.</w:t>
            </w:r>
          </w:p>
        </w:tc>
      </w:tr>
      <w:tr>
        <w:trPr>
          <w:trHeight w:val="234"/>
        </w:trPr>
        <w:tc>
          <w:tcPr>
            <w:tcW w:w="24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I.R.S. Identification Nos.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-282575</wp:posOffset>
            </wp:positionV>
            <wp:extent cx="7003415" cy="6463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646366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Silvercrest Asset Management Group LLC</w:t>
            </w:r>
          </w:p>
        </w:tc>
        <w:tc>
          <w:tcPr>
            <w:tcW w:w="0" w:type="dxa"/>
            <w:vAlign w:val="bottom"/>
          </w:tcPr>
          <w:p>
            <w:pPr>
              <w:spacing w:after="0"/>
              <w:rPr>
                <w:sz w:val="1"/>
                <w:szCs w:val="1"/>
                <w:color w:val="auto"/>
              </w:rPr>
            </w:pPr>
          </w:p>
        </w:tc>
      </w:tr>
      <w:tr>
        <w:trPr>
          <w:trHeight w:val="163"/>
        </w:trPr>
        <w:tc>
          <w:tcPr>
            <w:tcW w:w="11020" w:type="dxa"/>
            <w:vAlign w:val="bottom"/>
            <w:gridSpan w:val="6"/>
          </w:tcPr>
          <w:p>
            <w:pPr>
              <w:ind w:left="240"/>
              <w:spacing w:after="0" w:line="164" w:lineRule="exact"/>
              <w:rPr>
                <w:sz w:val="20"/>
                <w:szCs w:val="20"/>
                <w:color w:val="auto"/>
              </w:rPr>
            </w:pPr>
            <w:r>
              <w:rPr>
                <w:rFonts w:ascii="Times New Roman" w:cs="Times New Roman" w:eastAsia="Times New Roman" w:hAnsi="Times New Roman"/>
                <w:sz w:val="18"/>
                <w:szCs w:val="18"/>
                <w:color w:val="auto"/>
              </w:rPr>
              <w:t>2   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86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7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3   SEC Use Only</w:t>
            </w:r>
          </w:p>
        </w:tc>
        <w:tc>
          <w:tcPr>
            <w:tcW w:w="9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6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02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4   Citizenship or Place of Organization.</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New York, United States of America</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4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 shares</w:t>
            </w:r>
          </w:p>
        </w:tc>
        <w:tc>
          <w:tcPr>
            <w:tcW w:w="0" w:type="dxa"/>
            <w:vAlign w:val="bottom"/>
          </w:tcPr>
          <w:p>
            <w:pPr>
              <w:spacing w:after="0"/>
              <w:rPr>
                <w:sz w:val="1"/>
                <w:szCs w:val="1"/>
                <w:color w:val="auto"/>
              </w:rPr>
            </w:pPr>
          </w:p>
        </w:tc>
      </w:tr>
      <w:tr>
        <w:trPr>
          <w:trHeight w:val="229"/>
        </w:trPr>
        <w:tc>
          <w:tcPr>
            <w:tcW w:w="1140" w:type="dxa"/>
            <w:vAlign w:val="bottom"/>
            <w:tcBorders>
              <w:right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9"/>
                <w:szCs w:val="19"/>
                <w:color w:val="auto"/>
              </w:rPr>
            </w:pPr>
          </w:p>
        </w:tc>
        <w:tc>
          <w:tcPr>
            <w:tcW w:w="2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1140" w:type="dxa"/>
            <w:vAlign w:val="bottom"/>
            <w:tcBorders>
              <w:right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tcPr>
          <w:p>
            <w:pPr>
              <w:ind w:left="80"/>
              <w:spacing w:after="0" w:line="235" w:lineRule="exact"/>
              <w:rPr>
                <w:sz w:val="20"/>
                <w:szCs w:val="20"/>
                <w:color w:val="auto"/>
              </w:rPr>
            </w:pPr>
            <w:r>
              <w:rPr>
                <w:rFonts w:ascii="Times New Roman" w:cs="Times New Roman" w:eastAsia="Times New Roman" w:hAnsi="Times New Roman"/>
                <w:sz w:val="22"/>
                <w:szCs w:val="22"/>
                <w:color w:val="auto"/>
              </w:rPr>
              <w:t>992,868 shares</w:t>
            </w:r>
          </w:p>
        </w:tc>
        <w:tc>
          <w:tcPr>
            <w:tcW w:w="0" w:type="dxa"/>
            <w:vAlign w:val="bottom"/>
          </w:tcPr>
          <w:p>
            <w:pPr>
              <w:spacing w:after="0"/>
              <w:rPr>
                <w:sz w:val="1"/>
                <w:szCs w:val="1"/>
                <w:color w:val="auto"/>
              </w:rPr>
            </w:pPr>
          </w:p>
        </w:tc>
      </w:tr>
      <w:tr>
        <w:trPr>
          <w:trHeight w:val="198"/>
        </w:trPr>
        <w:tc>
          <w:tcPr>
            <w:tcW w:w="1140" w:type="dxa"/>
            <w:vAlign w:val="bottom"/>
            <w:tcBorders>
              <w:right w:val="single" w:sz="8" w:color="auto"/>
            </w:tcBorders>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700" w:type="dxa"/>
            <w:vAlign w:val="bottom"/>
            <w:tcBorders>
              <w:right w:val="single" w:sz="8" w:color="auto"/>
            </w:tcBorders>
          </w:tcPr>
          <w:p>
            <w:pPr>
              <w:jc w:val="center"/>
              <w:ind w:right="20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60" w:type="dxa"/>
            <w:vAlign w:val="bottom"/>
          </w:tcPr>
          <w:p>
            <w:pPr>
              <w:spacing w:after="0"/>
              <w:rPr>
                <w:sz w:val="15"/>
                <w:szCs w:val="15"/>
                <w:color w:val="auto"/>
              </w:rPr>
            </w:pPr>
          </w:p>
        </w:tc>
        <w:tc>
          <w:tcPr>
            <w:tcW w:w="26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5"/>
                <w:szCs w:val="15"/>
                <w:color w:val="auto"/>
              </w:rPr>
            </w:pPr>
          </w:p>
        </w:tc>
        <w:tc>
          <w:tcPr>
            <w:tcW w:w="932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1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16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320" w:type="dxa"/>
            <w:vAlign w:val="bottom"/>
          </w:tcPr>
          <w:p>
            <w:pPr>
              <w:ind w:left="80"/>
              <w:spacing w:after="0" w:line="248" w:lineRule="exact"/>
              <w:rPr>
                <w:sz w:val="20"/>
                <w:szCs w:val="20"/>
                <w:color w:val="auto"/>
              </w:rPr>
            </w:pPr>
            <w:r>
              <w:rPr>
                <w:rFonts w:ascii="Times New Roman" w:cs="Times New Roman" w:eastAsia="Times New Roman" w:hAnsi="Times New Roman"/>
                <w:sz w:val="22"/>
                <w:szCs w:val="22"/>
                <w:color w:val="auto"/>
              </w:rPr>
              <w:t>0 shares</w:t>
            </w:r>
          </w:p>
        </w:tc>
        <w:tc>
          <w:tcPr>
            <w:tcW w:w="0" w:type="dxa"/>
            <w:vAlign w:val="bottom"/>
          </w:tcPr>
          <w:p>
            <w:pPr>
              <w:spacing w:after="0"/>
              <w:rPr>
                <w:sz w:val="1"/>
                <w:szCs w:val="1"/>
                <w:color w:val="auto"/>
              </w:rPr>
            </w:pPr>
          </w:p>
        </w:tc>
      </w:tr>
      <w:tr>
        <w:trPr>
          <w:trHeight w:val="68"/>
        </w:trPr>
        <w:tc>
          <w:tcPr>
            <w:tcW w:w="440" w:type="dxa"/>
            <w:vAlign w:val="bottom"/>
            <w:vMerge w:val="restart"/>
          </w:tcPr>
          <w:p>
            <w:pPr>
              <w:spacing w:after="0"/>
              <w:rPr>
                <w:sz w:val="5"/>
                <w:szCs w:val="5"/>
                <w:color w:val="auto"/>
              </w:rPr>
            </w:pPr>
          </w:p>
        </w:tc>
        <w:tc>
          <w:tcPr>
            <w:tcW w:w="700" w:type="dxa"/>
            <w:vAlign w:val="bottom"/>
            <w:tcBorders>
              <w:right w:val="single" w:sz="8" w:color="auto"/>
            </w:tcBorders>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With</w:t>
            </w: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0" w:type="dxa"/>
            <w:vAlign w:val="bottom"/>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2"/>
                <w:szCs w:val="12"/>
                <w:color w:val="auto"/>
              </w:rPr>
            </w:pPr>
          </w:p>
        </w:tc>
        <w:tc>
          <w:tcPr>
            <w:tcW w:w="9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4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992,868 shares</w:t>
            </w:r>
          </w:p>
        </w:tc>
        <w:tc>
          <w:tcPr>
            <w:tcW w:w="0" w:type="dxa"/>
            <w:vAlign w:val="bottom"/>
          </w:tcPr>
          <w:p>
            <w:pPr>
              <w:spacing w:after="0"/>
              <w:rPr>
                <w:sz w:val="1"/>
                <w:szCs w:val="1"/>
                <w:color w:val="auto"/>
              </w:rPr>
            </w:pPr>
          </w:p>
        </w:tc>
      </w:tr>
      <w:tr>
        <w:trPr>
          <w:trHeight w:val="365"/>
        </w:trPr>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5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40" w:type="dxa"/>
            <w:vAlign w:val="bottom"/>
            <w:tcBorders>
              <w:right w:val="single" w:sz="8" w:color="auto"/>
            </w:tcBorders>
          </w:tcPr>
          <w:p>
            <w:pPr>
              <w:spacing w:after="0"/>
              <w:rPr>
                <w:sz w:val="24"/>
                <w:szCs w:val="24"/>
                <w:color w:val="auto"/>
              </w:rPr>
            </w:pPr>
          </w:p>
        </w:tc>
        <w:tc>
          <w:tcPr>
            <w:tcW w:w="10580" w:type="dxa"/>
            <w:vAlign w:val="bottom"/>
            <w:gridSpan w:val="5"/>
          </w:tcPr>
          <w:p>
            <w:pPr>
              <w:ind w:left="200"/>
              <w:spacing w:after="0"/>
              <w:rPr>
                <w:sz w:val="20"/>
                <w:szCs w:val="20"/>
                <w:color w:val="auto"/>
              </w:rPr>
            </w:pPr>
            <w:r>
              <w:rPr>
                <w:rFonts w:ascii="Times New Roman" w:cs="Times New Roman" w:eastAsia="Times New Roman" w:hAnsi="Times New Roman"/>
                <w:sz w:val="22"/>
                <w:szCs w:val="22"/>
                <w:color w:val="auto"/>
              </w:rPr>
              <w:t>992,868 shares</w:t>
            </w:r>
          </w:p>
        </w:tc>
        <w:tc>
          <w:tcPr>
            <w:tcW w:w="0" w:type="dxa"/>
            <w:vAlign w:val="bottom"/>
          </w:tcPr>
          <w:p>
            <w:pPr>
              <w:spacing w:after="0"/>
              <w:rPr>
                <w:sz w:val="1"/>
                <w:szCs w:val="1"/>
                <w:color w:val="auto"/>
              </w:rPr>
            </w:pPr>
          </w:p>
        </w:tc>
      </w:tr>
      <w:tr>
        <w:trPr>
          <w:trHeight w:val="365"/>
        </w:trPr>
        <w:tc>
          <w:tcPr>
            <w:tcW w:w="4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4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20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N/A</w:t>
            </w: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40" w:type="dxa"/>
            <w:vAlign w:val="bottom"/>
            <w:tcBorders>
              <w:right w:val="single" w:sz="8" w:color="auto"/>
            </w:tcBorders>
          </w:tcPr>
          <w:p>
            <w:pPr>
              <w:spacing w:after="0"/>
              <w:rPr>
                <w:sz w:val="24"/>
                <w:szCs w:val="2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5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color w:val="auto"/>
                <w:w w:val="96"/>
              </w:rPr>
              <w:t>IA, OO</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3"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Names of Reporting Persons.</w:t>
            </w:r>
          </w:p>
        </w:tc>
      </w:tr>
      <w:tr>
        <w:trPr>
          <w:trHeight w:val="234"/>
        </w:trPr>
        <w:tc>
          <w:tcPr>
            <w:tcW w:w="24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I.R.S. Identification Nos.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-281940</wp:posOffset>
            </wp:positionV>
            <wp:extent cx="7003415" cy="6463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646366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Silvercrest L.P.</w:t>
            </w:r>
          </w:p>
        </w:tc>
        <w:tc>
          <w:tcPr>
            <w:tcW w:w="0" w:type="dxa"/>
            <w:vAlign w:val="bottom"/>
          </w:tcPr>
          <w:p>
            <w:pPr>
              <w:spacing w:after="0"/>
              <w:rPr>
                <w:sz w:val="1"/>
                <w:szCs w:val="1"/>
                <w:color w:val="auto"/>
              </w:rPr>
            </w:pPr>
          </w:p>
        </w:tc>
      </w:tr>
      <w:tr>
        <w:trPr>
          <w:trHeight w:val="163"/>
        </w:trPr>
        <w:tc>
          <w:tcPr>
            <w:tcW w:w="11020" w:type="dxa"/>
            <w:vAlign w:val="bottom"/>
            <w:gridSpan w:val="6"/>
          </w:tcPr>
          <w:p>
            <w:pPr>
              <w:ind w:left="240"/>
              <w:spacing w:after="0" w:line="164" w:lineRule="exact"/>
              <w:rPr>
                <w:sz w:val="20"/>
                <w:szCs w:val="20"/>
                <w:color w:val="auto"/>
              </w:rPr>
            </w:pPr>
            <w:r>
              <w:rPr>
                <w:rFonts w:ascii="Times New Roman" w:cs="Times New Roman" w:eastAsia="Times New Roman" w:hAnsi="Times New Roman"/>
                <w:sz w:val="18"/>
                <w:szCs w:val="18"/>
                <w:color w:val="auto"/>
              </w:rPr>
              <w:t>2   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8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7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3   SEC Use Only</w:t>
            </w:r>
          </w:p>
        </w:tc>
        <w:tc>
          <w:tcPr>
            <w:tcW w:w="9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6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02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4   Citizenship or Place of Organization.</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Delaware, United States of America</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Pr>
          <w:p>
            <w:pPr>
              <w:spacing w:after="0"/>
              <w:rPr>
                <w:sz w:val="19"/>
                <w:szCs w:val="19"/>
                <w:color w:val="auto"/>
              </w:rPr>
            </w:pP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4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 shares</w:t>
            </w:r>
          </w:p>
        </w:tc>
        <w:tc>
          <w:tcPr>
            <w:tcW w:w="0" w:type="dxa"/>
            <w:vAlign w:val="bottom"/>
          </w:tcPr>
          <w:p>
            <w:pPr>
              <w:spacing w:after="0"/>
              <w:rPr>
                <w:sz w:val="1"/>
                <w:szCs w:val="1"/>
                <w:color w:val="auto"/>
              </w:rPr>
            </w:pPr>
          </w:p>
        </w:tc>
      </w:tr>
      <w:tr>
        <w:trPr>
          <w:trHeight w:val="229"/>
        </w:trPr>
        <w:tc>
          <w:tcPr>
            <w:tcW w:w="1140" w:type="dxa"/>
            <w:vAlign w:val="bottom"/>
            <w:tcBorders>
              <w:right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19"/>
                <w:szCs w:val="19"/>
                <w:color w:val="auto"/>
              </w:rPr>
            </w:pPr>
          </w:p>
        </w:tc>
        <w:tc>
          <w:tcPr>
            <w:tcW w:w="2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tcPr>
          <w:p>
            <w:pPr>
              <w:spacing w:after="0"/>
              <w:rPr>
                <w:sz w:val="19"/>
                <w:szCs w:val="19"/>
                <w:color w:val="auto"/>
              </w:rPr>
            </w:pP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1140" w:type="dxa"/>
            <w:vAlign w:val="bottom"/>
            <w:tcBorders>
              <w:right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1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tcPr>
          <w:p>
            <w:pPr>
              <w:ind w:left="80"/>
              <w:spacing w:after="0" w:line="235" w:lineRule="exact"/>
              <w:rPr>
                <w:sz w:val="20"/>
                <w:szCs w:val="20"/>
                <w:color w:val="auto"/>
              </w:rPr>
            </w:pPr>
            <w:r>
              <w:rPr>
                <w:rFonts w:ascii="Times New Roman" w:cs="Times New Roman" w:eastAsia="Times New Roman" w:hAnsi="Times New Roman"/>
                <w:sz w:val="22"/>
                <w:szCs w:val="22"/>
                <w:color w:val="auto"/>
              </w:rPr>
              <w:t>992,868 shares</w:t>
            </w:r>
          </w:p>
        </w:tc>
        <w:tc>
          <w:tcPr>
            <w:tcW w:w="0" w:type="dxa"/>
            <w:vAlign w:val="bottom"/>
          </w:tcPr>
          <w:p>
            <w:pPr>
              <w:spacing w:after="0"/>
              <w:rPr>
                <w:sz w:val="1"/>
                <w:szCs w:val="1"/>
                <w:color w:val="auto"/>
              </w:rPr>
            </w:pPr>
          </w:p>
        </w:tc>
      </w:tr>
      <w:tr>
        <w:trPr>
          <w:trHeight w:val="198"/>
        </w:trPr>
        <w:tc>
          <w:tcPr>
            <w:tcW w:w="1140" w:type="dxa"/>
            <w:vAlign w:val="bottom"/>
            <w:tcBorders>
              <w:right w:val="single" w:sz="8" w:color="auto"/>
            </w:tcBorders>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Beneficially</w:t>
            </w:r>
          </w:p>
        </w:tc>
        <w:tc>
          <w:tcPr>
            <w:tcW w:w="1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700" w:type="dxa"/>
            <w:vAlign w:val="bottom"/>
            <w:tcBorders>
              <w:right w:val="single" w:sz="8" w:color="auto"/>
            </w:tcBorders>
          </w:tcPr>
          <w:p>
            <w:pPr>
              <w:jc w:val="center"/>
              <w:ind w:right="20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180" w:type="dxa"/>
            <w:vAlign w:val="bottom"/>
          </w:tcPr>
          <w:p>
            <w:pPr>
              <w:spacing w:after="0"/>
              <w:rPr>
                <w:sz w:val="15"/>
                <w:szCs w:val="15"/>
                <w:color w:val="auto"/>
              </w:rPr>
            </w:pPr>
          </w:p>
        </w:tc>
        <w:tc>
          <w:tcPr>
            <w:tcW w:w="24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5"/>
                <w:szCs w:val="15"/>
                <w:color w:val="auto"/>
              </w:rPr>
            </w:pPr>
          </w:p>
        </w:tc>
        <w:tc>
          <w:tcPr>
            <w:tcW w:w="932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1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1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320" w:type="dxa"/>
            <w:vAlign w:val="bottom"/>
          </w:tcPr>
          <w:p>
            <w:pPr>
              <w:ind w:left="80"/>
              <w:spacing w:after="0" w:line="248" w:lineRule="exact"/>
              <w:rPr>
                <w:sz w:val="20"/>
                <w:szCs w:val="20"/>
                <w:color w:val="auto"/>
              </w:rPr>
            </w:pPr>
            <w:r>
              <w:rPr>
                <w:rFonts w:ascii="Times New Roman" w:cs="Times New Roman" w:eastAsia="Times New Roman" w:hAnsi="Times New Roman"/>
                <w:sz w:val="22"/>
                <w:szCs w:val="22"/>
                <w:color w:val="auto"/>
              </w:rPr>
              <w:t>0 shares</w:t>
            </w:r>
          </w:p>
        </w:tc>
        <w:tc>
          <w:tcPr>
            <w:tcW w:w="0" w:type="dxa"/>
            <w:vAlign w:val="bottom"/>
          </w:tcPr>
          <w:p>
            <w:pPr>
              <w:spacing w:after="0"/>
              <w:rPr>
                <w:sz w:val="1"/>
                <w:szCs w:val="1"/>
                <w:color w:val="auto"/>
              </w:rPr>
            </w:pPr>
          </w:p>
        </w:tc>
      </w:tr>
      <w:tr>
        <w:trPr>
          <w:trHeight w:val="68"/>
        </w:trPr>
        <w:tc>
          <w:tcPr>
            <w:tcW w:w="440" w:type="dxa"/>
            <w:vAlign w:val="bottom"/>
            <w:vMerge w:val="restart"/>
          </w:tcPr>
          <w:p>
            <w:pPr>
              <w:spacing w:after="0"/>
              <w:rPr>
                <w:sz w:val="5"/>
                <w:szCs w:val="5"/>
                <w:color w:val="auto"/>
              </w:rPr>
            </w:pPr>
          </w:p>
        </w:tc>
        <w:tc>
          <w:tcPr>
            <w:tcW w:w="700" w:type="dxa"/>
            <w:vAlign w:val="bottom"/>
            <w:tcBorders>
              <w:right w:val="single" w:sz="8" w:color="auto"/>
            </w:tcBorders>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With</w:t>
            </w: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0" w:type="dxa"/>
            <w:vAlign w:val="bottom"/>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tcPr>
          <w:p>
            <w:pPr>
              <w:spacing w:after="0"/>
              <w:rPr>
                <w:sz w:val="12"/>
                <w:szCs w:val="12"/>
                <w:color w:val="auto"/>
              </w:rPr>
            </w:pPr>
          </w:p>
        </w:tc>
        <w:tc>
          <w:tcPr>
            <w:tcW w:w="9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4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992,868 shares</w:t>
            </w:r>
          </w:p>
        </w:tc>
        <w:tc>
          <w:tcPr>
            <w:tcW w:w="0" w:type="dxa"/>
            <w:vAlign w:val="bottom"/>
          </w:tcPr>
          <w:p>
            <w:pPr>
              <w:spacing w:after="0"/>
              <w:rPr>
                <w:sz w:val="1"/>
                <w:szCs w:val="1"/>
                <w:color w:val="auto"/>
              </w:rPr>
            </w:pPr>
          </w:p>
        </w:tc>
      </w:tr>
      <w:tr>
        <w:trPr>
          <w:trHeight w:val="365"/>
        </w:trPr>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5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40" w:type="dxa"/>
            <w:vAlign w:val="bottom"/>
            <w:tcBorders>
              <w:right w:val="single" w:sz="8" w:color="auto"/>
            </w:tcBorders>
          </w:tcPr>
          <w:p>
            <w:pPr>
              <w:spacing w:after="0"/>
              <w:rPr>
                <w:sz w:val="24"/>
                <w:szCs w:val="24"/>
                <w:color w:val="auto"/>
              </w:rPr>
            </w:pPr>
          </w:p>
        </w:tc>
        <w:tc>
          <w:tcPr>
            <w:tcW w:w="10580" w:type="dxa"/>
            <w:vAlign w:val="bottom"/>
            <w:gridSpan w:val="5"/>
          </w:tcPr>
          <w:p>
            <w:pPr>
              <w:ind w:left="200"/>
              <w:spacing w:after="0"/>
              <w:rPr>
                <w:sz w:val="20"/>
                <w:szCs w:val="20"/>
                <w:color w:val="auto"/>
              </w:rPr>
            </w:pPr>
            <w:r>
              <w:rPr>
                <w:rFonts w:ascii="Times New Roman" w:cs="Times New Roman" w:eastAsia="Times New Roman" w:hAnsi="Times New Roman"/>
                <w:sz w:val="22"/>
                <w:szCs w:val="22"/>
                <w:color w:val="auto"/>
              </w:rPr>
              <w:t>992,868 shares</w:t>
            </w:r>
          </w:p>
        </w:tc>
        <w:tc>
          <w:tcPr>
            <w:tcW w:w="0" w:type="dxa"/>
            <w:vAlign w:val="bottom"/>
          </w:tcPr>
          <w:p>
            <w:pPr>
              <w:spacing w:after="0"/>
              <w:rPr>
                <w:sz w:val="1"/>
                <w:szCs w:val="1"/>
                <w:color w:val="auto"/>
              </w:rPr>
            </w:pPr>
          </w:p>
        </w:tc>
      </w:tr>
      <w:tr>
        <w:trPr>
          <w:trHeight w:val="365"/>
        </w:trPr>
        <w:tc>
          <w:tcPr>
            <w:tcW w:w="4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4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20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N/A</w:t>
            </w: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40" w:type="dxa"/>
            <w:vAlign w:val="bottom"/>
            <w:tcBorders>
              <w:right w:val="single" w:sz="8" w:color="auto"/>
            </w:tcBorders>
          </w:tcPr>
          <w:p>
            <w:pPr>
              <w:spacing w:after="0"/>
              <w:rPr>
                <w:sz w:val="24"/>
                <w:szCs w:val="2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5.9%</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5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2"/>
                <w:szCs w:val="22"/>
                <w:color w:val="auto"/>
                <w:w w:val="94"/>
              </w:rPr>
              <w:t>HC, PN</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3"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1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Names of Reporting Persons.</w:t>
            </w:r>
          </w:p>
        </w:tc>
      </w:tr>
      <w:tr>
        <w:trPr>
          <w:trHeight w:val="234"/>
        </w:trPr>
        <w:tc>
          <w:tcPr>
            <w:tcW w:w="24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I.R.S. Identification Nos. of above persons (entities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-282575</wp:posOffset>
            </wp:positionV>
            <wp:extent cx="7003415" cy="6463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646366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2"/>
                <w:szCs w:val="22"/>
                <w:color w:val="auto"/>
              </w:rPr>
              <w:t>Silvercrest Asset Management Group Inc.</w:t>
            </w:r>
          </w:p>
        </w:tc>
        <w:tc>
          <w:tcPr>
            <w:tcW w:w="0" w:type="dxa"/>
            <w:vAlign w:val="bottom"/>
          </w:tcPr>
          <w:p>
            <w:pPr>
              <w:spacing w:after="0"/>
              <w:rPr>
                <w:sz w:val="1"/>
                <w:szCs w:val="1"/>
                <w:color w:val="auto"/>
              </w:rPr>
            </w:pPr>
          </w:p>
        </w:tc>
      </w:tr>
      <w:tr>
        <w:trPr>
          <w:trHeight w:val="163"/>
        </w:trPr>
        <w:tc>
          <w:tcPr>
            <w:tcW w:w="11020" w:type="dxa"/>
            <w:vAlign w:val="bottom"/>
            <w:gridSpan w:val="5"/>
          </w:tcPr>
          <w:p>
            <w:pPr>
              <w:ind w:left="240"/>
              <w:spacing w:after="0" w:line="164" w:lineRule="exact"/>
              <w:rPr>
                <w:sz w:val="20"/>
                <w:szCs w:val="20"/>
                <w:color w:val="auto"/>
              </w:rPr>
            </w:pPr>
            <w:r>
              <w:rPr>
                <w:rFonts w:ascii="Times New Roman" w:cs="Times New Roman" w:eastAsia="Times New Roman" w:hAnsi="Times New Roman"/>
                <w:sz w:val="18"/>
                <w:szCs w:val="18"/>
                <w:color w:val="auto"/>
              </w:rPr>
              <w:t>2   Check the Appropriate Box if a Member of a Group (See Instructions)</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7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3   SEC Use Only</w:t>
            </w:r>
          </w:p>
        </w:tc>
        <w:tc>
          <w:tcPr>
            <w:tcW w:w="9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0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4   Citizenship or Place of Organization.</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2"/>
                <w:szCs w:val="22"/>
                <w:color w:val="auto"/>
              </w:rPr>
              <w:t>Delaware, United States of America</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4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0 shares</w:t>
            </w:r>
          </w:p>
        </w:tc>
        <w:tc>
          <w:tcPr>
            <w:tcW w:w="0" w:type="dxa"/>
            <w:vAlign w:val="bottom"/>
          </w:tcPr>
          <w:p>
            <w:pPr>
              <w:spacing w:after="0"/>
              <w:rPr>
                <w:sz w:val="1"/>
                <w:szCs w:val="1"/>
                <w:color w:val="auto"/>
              </w:rPr>
            </w:pPr>
          </w:p>
        </w:tc>
      </w:tr>
      <w:tr>
        <w:trPr>
          <w:trHeight w:val="229"/>
        </w:trPr>
        <w:tc>
          <w:tcPr>
            <w:tcW w:w="1140" w:type="dxa"/>
            <w:vAlign w:val="bottom"/>
            <w:tcBorders>
              <w:right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1140" w:type="dxa"/>
            <w:vAlign w:val="bottom"/>
            <w:tcBorders>
              <w:right w:val="single" w:sz="8" w:color="auto"/>
            </w:tcBorders>
            <w:gridSpan w:val="2"/>
            <w:vMerge w:val="continue"/>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4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320" w:type="dxa"/>
            <w:vAlign w:val="bottom"/>
          </w:tcPr>
          <w:p>
            <w:pPr>
              <w:ind w:left="80"/>
              <w:spacing w:after="0" w:line="235" w:lineRule="exact"/>
              <w:rPr>
                <w:sz w:val="20"/>
                <w:szCs w:val="20"/>
                <w:color w:val="auto"/>
              </w:rPr>
            </w:pPr>
            <w:r>
              <w:rPr>
                <w:rFonts w:ascii="Times New Roman" w:cs="Times New Roman" w:eastAsia="Times New Roman" w:hAnsi="Times New Roman"/>
                <w:sz w:val="22"/>
                <w:szCs w:val="22"/>
                <w:color w:val="auto"/>
              </w:rPr>
              <w:t>992,868 shares</w:t>
            </w:r>
          </w:p>
        </w:tc>
        <w:tc>
          <w:tcPr>
            <w:tcW w:w="0" w:type="dxa"/>
            <w:vAlign w:val="bottom"/>
          </w:tcPr>
          <w:p>
            <w:pPr>
              <w:spacing w:after="0"/>
              <w:rPr>
                <w:sz w:val="1"/>
                <w:szCs w:val="1"/>
                <w:color w:val="auto"/>
              </w:rPr>
            </w:pPr>
          </w:p>
        </w:tc>
      </w:tr>
      <w:tr>
        <w:trPr>
          <w:trHeight w:val="198"/>
        </w:trPr>
        <w:tc>
          <w:tcPr>
            <w:tcW w:w="1140" w:type="dxa"/>
            <w:vAlign w:val="bottom"/>
            <w:tcBorders>
              <w:right w:val="single" w:sz="8" w:color="auto"/>
            </w:tcBorders>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34"/>
        </w:trPr>
        <w:tc>
          <w:tcPr>
            <w:tcW w:w="1140" w:type="dxa"/>
            <w:vAlign w:val="bottom"/>
            <w:tcBorders>
              <w:right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700" w:type="dxa"/>
            <w:vAlign w:val="bottom"/>
            <w:tcBorders>
              <w:right w:val="single" w:sz="8" w:color="auto"/>
            </w:tcBorders>
          </w:tcPr>
          <w:p>
            <w:pPr>
              <w:jc w:val="center"/>
              <w:ind w:right="20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right w:val="single" w:sz="8" w:color="auto"/>
            </w:tcBorders>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5"/>
                <w:szCs w:val="15"/>
                <w:color w:val="auto"/>
              </w:rPr>
            </w:pPr>
          </w:p>
        </w:tc>
        <w:tc>
          <w:tcPr>
            <w:tcW w:w="932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Borders>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320" w:type="dxa"/>
            <w:vAlign w:val="bottom"/>
          </w:tcPr>
          <w:p>
            <w:pPr>
              <w:ind w:left="80"/>
              <w:spacing w:after="0" w:line="248" w:lineRule="exact"/>
              <w:rPr>
                <w:sz w:val="20"/>
                <w:szCs w:val="20"/>
                <w:color w:val="auto"/>
              </w:rPr>
            </w:pPr>
            <w:r>
              <w:rPr>
                <w:rFonts w:ascii="Times New Roman" w:cs="Times New Roman" w:eastAsia="Times New Roman" w:hAnsi="Times New Roman"/>
                <w:sz w:val="22"/>
                <w:szCs w:val="22"/>
                <w:color w:val="auto"/>
              </w:rPr>
              <w:t>0 shares</w:t>
            </w:r>
          </w:p>
        </w:tc>
        <w:tc>
          <w:tcPr>
            <w:tcW w:w="0" w:type="dxa"/>
            <w:vAlign w:val="bottom"/>
          </w:tcPr>
          <w:p>
            <w:pPr>
              <w:spacing w:after="0"/>
              <w:rPr>
                <w:sz w:val="1"/>
                <w:szCs w:val="1"/>
                <w:color w:val="auto"/>
              </w:rPr>
            </w:pPr>
          </w:p>
        </w:tc>
      </w:tr>
      <w:tr>
        <w:trPr>
          <w:trHeight w:val="68"/>
        </w:trPr>
        <w:tc>
          <w:tcPr>
            <w:tcW w:w="440" w:type="dxa"/>
            <w:vAlign w:val="bottom"/>
            <w:vMerge w:val="restart"/>
          </w:tcPr>
          <w:p>
            <w:pPr>
              <w:spacing w:after="0"/>
              <w:rPr>
                <w:sz w:val="5"/>
                <w:szCs w:val="5"/>
                <w:color w:val="auto"/>
              </w:rPr>
            </w:pPr>
          </w:p>
        </w:tc>
        <w:tc>
          <w:tcPr>
            <w:tcW w:w="700" w:type="dxa"/>
            <w:vAlign w:val="bottom"/>
            <w:tcBorders>
              <w:right w:val="single" w:sz="8" w:color="auto"/>
            </w:tcBorders>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40" w:type="dxa"/>
            <w:vAlign w:val="bottom"/>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2"/>
                <w:szCs w:val="12"/>
                <w:color w:val="auto"/>
              </w:rPr>
            </w:pPr>
          </w:p>
        </w:tc>
        <w:tc>
          <w:tcPr>
            <w:tcW w:w="9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44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3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992,868 shares</w:t>
            </w:r>
          </w:p>
        </w:tc>
        <w:tc>
          <w:tcPr>
            <w:tcW w:w="0" w:type="dxa"/>
            <w:vAlign w:val="bottom"/>
          </w:tcPr>
          <w:p>
            <w:pPr>
              <w:spacing w:after="0"/>
              <w:rPr>
                <w:sz w:val="1"/>
                <w:szCs w:val="1"/>
                <w:color w:val="auto"/>
              </w:rPr>
            </w:pPr>
          </w:p>
        </w:tc>
      </w:tr>
      <w:tr>
        <w:trPr>
          <w:trHeight w:val="365"/>
        </w:trPr>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0"/>
        </w:trPr>
        <w:tc>
          <w:tcPr>
            <w:tcW w:w="440" w:type="dxa"/>
            <w:vAlign w:val="bottom"/>
            <w:tcBorders>
              <w:right w:val="single" w:sz="8" w:color="auto"/>
            </w:tcBorders>
          </w:tcPr>
          <w:p>
            <w:pPr>
              <w:spacing w:after="0"/>
              <w:rPr>
                <w:sz w:val="24"/>
                <w:szCs w:val="24"/>
                <w:color w:val="auto"/>
              </w:rPr>
            </w:pPr>
          </w:p>
        </w:tc>
        <w:tc>
          <w:tcPr>
            <w:tcW w:w="105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992,868 shares</w:t>
            </w:r>
          </w:p>
        </w:tc>
        <w:tc>
          <w:tcPr>
            <w:tcW w:w="0" w:type="dxa"/>
            <w:vAlign w:val="bottom"/>
          </w:tcPr>
          <w:p>
            <w:pPr>
              <w:spacing w:after="0"/>
              <w:rPr>
                <w:sz w:val="1"/>
                <w:szCs w:val="1"/>
                <w:color w:val="auto"/>
              </w:rPr>
            </w:pPr>
          </w:p>
        </w:tc>
      </w:tr>
      <w:tr>
        <w:trPr>
          <w:trHeight w:val="365"/>
        </w:trPr>
        <w:tc>
          <w:tcPr>
            <w:tcW w:w="4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4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20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N/A</w:t>
            </w: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40" w:type="dxa"/>
            <w:vAlign w:val="bottom"/>
            <w:tcBorders>
              <w:right w:val="single" w:sz="8" w:color="auto"/>
            </w:tcBorders>
          </w:tcPr>
          <w:p>
            <w:pPr>
              <w:spacing w:after="0"/>
              <w:rPr>
                <w:sz w:val="24"/>
                <w:szCs w:val="24"/>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5.9%</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2"/>
                <w:szCs w:val="22"/>
                <w:color w:val="auto"/>
              </w:rPr>
              <w:t>Refer to Item 4 below.</w:t>
            </w:r>
          </w:p>
        </w:tc>
        <w:tc>
          <w:tcPr>
            <w:tcW w:w="0" w:type="dxa"/>
            <w:vAlign w:val="bottom"/>
          </w:tcPr>
          <w:p>
            <w:pPr>
              <w:spacing w:after="0"/>
              <w:rPr>
                <w:sz w:val="1"/>
                <w:szCs w:val="1"/>
                <w:color w:val="auto"/>
              </w:rPr>
            </w:pPr>
          </w:p>
        </w:tc>
      </w:tr>
      <w:tr>
        <w:trPr>
          <w:trHeight w:val="229"/>
        </w:trPr>
        <w:tc>
          <w:tcPr>
            <w:tcW w:w="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80"/>
        </w:trPr>
        <w:tc>
          <w:tcPr>
            <w:tcW w:w="4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2"/>
                <w:szCs w:val="22"/>
                <w:color w:val="auto"/>
              </w:rPr>
              <w:t>HC, CO</w:t>
            </w: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83"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w:t>
      </w:r>
    </w:p>
    <w:p>
      <w:pPr>
        <w:spacing w:after="0" w:line="135" w:lineRule="exact"/>
        <w:rPr>
          <w:sz w:val="20"/>
          <w:szCs w:val="20"/>
          <w:color w:val="auto"/>
        </w:rPr>
      </w:pPr>
    </w:p>
    <w:p>
      <w:pPr>
        <w:ind w:left="840" w:right="7539" w:hanging="399"/>
        <w:spacing w:after="0" w:line="397" w:lineRule="auto"/>
        <w:tabs>
          <w:tab w:leader="none" w:pos="8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Oxford Industries, Inc.</w:t>
      </w:r>
    </w:p>
    <w:p>
      <w:pPr>
        <w:spacing w:after="0" w:line="1" w:lineRule="exact"/>
        <w:rPr>
          <w:rFonts w:ascii="Times New Roman" w:cs="Times New Roman" w:eastAsia="Times New Roman" w:hAnsi="Times New Roman"/>
          <w:sz w:val="17"/>
          <w:szCs w:val="17"/>
          <w:color w:val="auto"/>
        </w:rPr>
      </w:pPr>
    </w:p>
    <w:p>
      <w:pPr>
        <w:ind w:left="840" w:right="5759" w:hanging="399"/>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999 Peachtree Street, N.E., Suite 688 Atlanta, Georgia 30309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5" w:lineRule="exact"/>
        <w:rPr>
          <w:sz w:val="20"/>
          <w:szCs w:val="20"/>
          <w:color w:val="auto"/>
        </w:rPr>
      </w:pPr>
    </w:p>
    <w:p>
      <w:pPr>
        <w:ind w:left="840" w:hanging="399"/>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117" w:lineRule="exact"/>
        <w:rPr>
          <w:rFonts w:ascii="Times New Roman" w:cs="Times New Roman" w:eastAsia="Times New Roman" w:hAnsi="Times New Roman"/>
          <w:sz w:val="18"/>
          <w:szCs w:val="18"/>
          <w:color w:val="auto"/>
        </w:rPr>
      </w:pPr>
    </w:p>
    <w:p>
      <w:pPr>
        <w:ind w:left="840" w:right="60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LLC Silvercrest L.P.</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Inc.</w:t>
      </w:r>
    </w:p>
    <w:p>
      <w:pPr>
        <w:spacing w:after="0" w:line="112" w:lineRule="exact"/>
        <w:rPr>
          <w:rFonts w:ascii="Times New Roman" w:cs="Times New Roman" w:eastAsia="Times New Roman" w:hAnsi="Times New Roman"/>
          <w:sz w:val="18"/>
          <w:szCs w:val="18"/>
          <w:color w:val="auto"/>
        </w:rPr>
      </w:pPr>
    </w:p>
    <w:p>
      <w:pPr>
        <w:ind w:left="840" w:hanging="399"/>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117" w:lineRule="exact"/>
        <w:rPr>
          <w:rFonts w:ascii="Times New Roman" w:cs="Times New Roman" w:eastAsia="Times New Roman" w:hAnsi="Times New Roman"/>
          <w:sz w:val="18"/>
          <w:szCs w:val="18"/>
          <w:color w:val="auto"/>
        </w:rPr>
      </w:pPr>
    </w:p>
    <w:p>
      <w:pPr>
        <w:ind w:left="840" w:right="617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1330 Avenue of the Americas, 38th Floor New York, NY 10019</w:t>
      </w:r>
    </w:p>
    <w:p>
      <w:pPr>
        <w:spacing w:after="0" w:line="67" w:lineRule="exact"/>
        <w:rPr>
          <w:rFonts w:ascii="Times New Roman" w:cs="Times New Roman" w:eastAsia="Times New Roman" w:hAnsi="Times New Roman"/>
          <w:sz w:val="18"/>
          <w:szCs w:val="18"/>
          <w:color w:val="auto"/>
        </w:rPr>
      </w:pPr>
    </w:p>
    <w:p>
      <w:pPr>
        <w:ind w:left="840" w:hanging="399"/>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117" w:lineRule="exact"/>
        <w:rPr>
          <w:rFonts w:ascii="Times New Roman" w:cs="Times New Roman" w:eastAsia="Times New Roman" w:hAnsi="Times New Roman"/>
          <w:sz w:val="18"/>
          <w:szCs w:val="18"/>
          <w:color w:val="auto"/>
        </w:rPr>
      </w:pPr>
    </w:p>
    <w:p>
      <w:pPr>
        <w:ind w:left="840" w:right="32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LLC - New York, United States of America Silvercrest L.P. - Delaware, United States of America</w:t>
      </w: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Inc. - Delaware, United States of America</w:t>
      </w:r>
    </w:p>
    <w:p>
      <w:pPr>
        <w:spacing w:after="0" w:line="112" w:lineRule="exact"/>
        <w:rPr>
          <w:rFonts w:ascii="Times New Roman" w:cs="Times New Roman" w:eastAsia="Times New Roman" w:hAnsi="Times New Roman"/>
          <w:sz w:val="18"/>
          <w:szCs w:val="18"/>
          <w:color w:val="auto"/>
        </w:rPr>
      </w:pPr>
    </w:p>
    <w:p>
      <w:pPr>
        <w:ind w:left="840" w:hanging="399"/>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11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$1.00 par value per share</w:t>
      </w:r>
    </w:p>
    <w:p>
      <w:pPr>
        <w:spacing w:after="0" w:line="117" w:lineRule="exact"/>
        <w:rPr>
          <w:rFonts w:ascii="Times New Roman" w:cs="Times New Roman" w:eastAsia="Times New Roman" w:hAnsi="Times New Roman"/>
          <w:sz w:val="18"/>
          <w:szCs w:val="18"/>
          <w:color w:val="auto"/>
        </w:rPr>
      </w:pPr>
    </w:p>
    <w:p>
      <w:pPr>
        <w:ind w:left="840" w:right="8019" w:hanging="399"/>
        <w:spacing w:after="0" w:line="407"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691497309</w:t>
      </w:r>
    </w:p>
    <w:p>
      <w:pPr>
        <w:sectPr>
          <w:pgSz w:w="11900" w:h="16838" w:orient="portrait"/>
          <w:cols w:equalWidth="0" w:num="1">
            <w:col w:w="10019"/>
          </w:cols>
          <w:pgMar w:left="440" w:top="266" w:right="1440" w:bottom="1440" w:gutter="0" w:footer="0" w:header="0"/>
        </w:sectPr>
      </w:pPr>
    </w:p>
    <w:bookmarkStart w:id="5" w:name="page6"/>
    <w:bookmarkEnd w:id="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06" w:lineRule="exact"/>
        <w:rPr>
          <w:sz w:val="20"/>
          <w:szCs w:val="20"/>
          <w:color w:val="auto"/>
        </w:rPr>
      </w:pPr>
    </w:p>
    <w:p>
      <w:pPr>
        <w:ind w:left="1120" w:hanging="41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120" w:hanging="42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120" w:hanging="41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117" w:lineRule="exact"/>
        <w:rPr>
          <w:rFonts w:ascii="Times New Roman" w:cs="Times New Roman" w:eastAsia="Times New Roman" w:hAnsi="Times New Roman"/>
          <w:sz w:val="18"/>
          <w:szCs w:val="18"/>
          <w:color w:val="auto"/>
        </w:rPr>
      </w:pPr>
    </w:p>
    <w:p>
      <w:pPr>
        <w:ind w:left="1120" w:hanging="42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120" w:hanging="41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120" w:hanging="39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120" w:hanging="42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1120" w:hanging="42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540" w:right="220" w:hanging="809"/>
        <w:spacing w:after="0" w:line="239" w:lineRule="exact"/>
        <w:tabs>
          <w:tab w:leader="none" w:pos="1108"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1120" w:hanging="38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1120" w:hanging="429"/>
        <w:spacing w:after="0" w:line="207" w:lineRule="exact"/>
        <w:tabs>
          <w:tab w:leader="none" w:pos="112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39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2020, Silvercrest Asset Management Group LLC (“SAMG LLC”) beneficially owned 992,868 shares of Common Stock, which is 5.9% of the Issuer’s outstanding Common Stock. The percentage herein is calculated based upon the aggregate total of the 16,883,565 shares of Common Stock issued and outstanding as of December 4, 2020, as reported in the Issuer’s Form 10-Q filed with the SEC on December 10, 2020.</w:t>
      </w:r>
    </w:p>
    <w:p>
      <w:pPr>
        <w:spacing w:after="0" w:line="81" w:lineRule="exact"/>
        <w:rPr>
          <w:sz w:val="20"/>
          <w:szCs w:val="20"/>
          <w:color w:val="auto"/>
        </w:rPr>
      </w:pPr>
    </w:p>
    <w:p>
      <w:pPr>
        <w:ind w:left="960" w:hanging="519"/>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17" w:lineRule="exact"/>
        <w:rPr>
          <w:rFonts w:ascii="Times New Roman" w:cs="Times New Roman" w:eastAsia="Times New Roman" w:hAnsi="Times New Roman"/>
          <w:sz w:val="18"/>
          <w:szCs w:val="18"/>
          <w:color w:val="auto"/>
        </w:rPr>
      </w:pPr>
    </w:p>
    <w:p>
      <w:pPr>
        <w:ind w:left="960" w:right="57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LLC – 992,868 shares Silvercrest L.P. - 992,868 shares</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Inc. - 992,868 shares</w:t>
      </w:r>
    </w:p>
    <w:p>
      <w:pPr>
        <w:spacing w:after="0" w:line="112" w:lineRule="exact"/>
        <w:rPr>
          <w:rFonts w:ascii="Times New Roman" w:cs="Times New Roman" w:eastAsia="Times New Roman" w:hAnsi="Times New Roman"/>
          <w:sz w:val="18"/>
          <w:szCs w:val="18"/>
          <w:color w:val="auto"/>
        </w:rPr>
      </w:pPr>
    </w:p>
    <w:p>
      <w:pPr>
        <w:ind w:left="960" w:hanging="519"/>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rFonts w:ascii="Times New Roman" w:cs="Times New Roman" w:eastAsia="Times New Roman" w:hAnsi="Times New Roman"/>
          <w:sz w:val="18"/>
          <w:szCs w:val="18"/>
          <w:color w:val="auto"/>
        </w:rPr>
      </w:pPr>
    </w:p>
    <w:p>
      <w:pPr>
        <w:ind w:left="960" w:right="6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LLC – 5.9% Silvercrest L.P. – 5.9%</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Inc. – 5.9%</w:t>
      </w:r>
    </w:p>
    <w:p>
      <w:pPr>
        <w:sectPr>
          <w:pgSz w:w="11900" w:h="16838" w:orient="portrait"/>
          <w:cols w:equalWidth="0" w:num="1">
            <w:col w:w="11000"/>
          </w:cols>
          <w:pgMar w:left="440" w:top="266" w:right="459" w:bottom="1440" w:gutter="0" w:footer="0" w:header="0"/>
        </w:sectPr>
      </w:pPr>
    </w:p>
    <w:bookmarkStart w:id="6" w:name="page7"/>
    <w:bookmarkEnd w:id="6"/>
    <w:p>
      <w:pPr>
        <w:ind w:left="864" w:hanging="419"/>
        <w:spacing w:after="0"/>
        <w:tabs>
          <w:tab w:leader="none" w:pos="8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Number of shares as to which such person has:</w:t>
      </w:r>
    </w:p>
    <w:p>
      <w:pPr>
        <w:spacing w:after="0" w:line="117" w:lineRule="exact"/>
        <w:rPr>
          <w:rFonts w:ascii="Times New Roman" w:cs="Times New Roman" w:eastAsia="Times New Roman" w:hAnsi="Times New Roman"/>
          <w:sz w:val="18"/>
          <w:szCs w:val="18"/>
          <w:color w:val="auto"/>
        </w:rPr>
      </w:pPr>
    </w:p>
    <w:p>
      <w:pPr>
        <w:ind w:left="1264" w:hanging="400"/>
        <w:spacing w:after="0"/>
        <w:tabs>
          <w:tab w:leader="none" w:pos="12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264" w:right="58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LLC - 0 shares Silvercrest L.P. - 0 shares</w:t>
      </w:r>
    </w:p>
    <w:p>
      <w:pPr>
        <w:ind w:left="1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Inc. - 0 shares</w:t>
      </w:r>
    </w:p>
    <w:p>
      <w:pPr>
        <w:spacing w:after="0" w:line="112" w:lineRule="exact"/>
        <w:rPr>
          <w:rFonts w:ascii="Times New Roman" w:cs="Times New Roman" w:eastAsia="Times New Roman" w:hAnsi="Times New Roman"/>
          <w:sz w:val="18"/>
          <w:szCs w:val="18"/>
          <w:color w:val="auto"/>
        </w:rPr>
      </w:pPr>
    </w:p>
    <w:p>
      <w:pPr>
        <w:ind w:left="1264" w:hanging="400"/>
        <w:spacing w:after="0"/>
        <w:tabs>
          <w:tab w:leader="none" w:pos="12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rFonts w:ascii="Times New Roman" w:cs="Times New Roman" w:eastAsia="Times New Roman" w:hAnsi="Times New Roman"/>
          <w:sz w:val="18"/>
          <w:szCs w:val="18"/>
          <w:color w:val="auto"/>
        </w:rPr>
      </w:pPr>
    </w:p>
    <w:p>
      <w:pPr>
        <w:ind w:left="1264" w:right="5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LLC - 992,868 shares Silvercrest L.P. - 992,868 shares</w:t>
      </w:r>
    </w:p>
    <w:p>
      <w:pPr>
        <w:ind w:left="1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Inc. - 992,868 shares</w:t>
      </w:r>
    </w:p>
    <w:p>
      <w:pPr>
        <w:spacing w:after="0" w:line="112" w:lineRule="exact"/>
        <w:rPr>
          <w:rFonts w:ascii="Times New Roman" w:cs="Times New Roman" w:eastAsia="Times New Roman" w:hAnsi="Times New Roman"/>
          <w:sz w:val="18"/>
          <w:szCs w:val="18"/>
          <w:color w:val="auto"/>
        </w:rPr>
      </w:pPr>
    </w:p>
    <w:p>
      <w:pPr>
        <w:ind w:left="1264" w:hanging="400"/>
        <w:spacing w:after="0"/>
        <w:tabs>
          <w:tab w:leader="none" w:pos="12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117" w:lineRule="exact"/>
        <w:rPr>
          <w:rFonts w:ascii="Times New Roman" w:cs="Times New Roman" w:eastAsia="Times New Roman" w:hAnsi="Times New Roman"/>
          <w:sz w:val="18"/>
          <w:szCs w:val="18"/>
          <w:color w:val="auto"/>
        </w:rPr>
      </w:pPr>
    </w:p>
    <w:p>
      <w:pPr>
        <w:ind w:left="1264" w:right="58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LLC - 0 shares Silvercrest L.P. - 0 shares</w:t>
      </w:r>
    </w:p>
    <w:p>
      <w:pPr>
        <w:ind w:left="1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Inc. - 0 shares</w:t>
      </w:r>
    </w:p>
    <w:p>
      <w:pPr>
        <w:spacing w:after="0" w:line="112" w:lineRule="exact"/>
        <w:rPr>
          <w:rFonts w:ascii="Times New Roman" w:cs="Times New Roman" w:eastAsia="Times New Roman" w:hAnsi="Times New Roman"/>
          <w:sz w:val="18"/>
          <w:szCs w:val="18"/>
          <w:color w:val="auto"/>
        </w:rPr>
      </w:pPr>
    </w:p>
    <w:p>
      <w:pPr>
        <w:ind w:left="1264" w:hanging="400"/>
        <w:spacing w:after="0"/>
        <w:tabs>
          <w:tab w:leader="none" w:pos="12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117" w:lineRule="exact"/>
        <w:rPr>
          <w:rFonts w:ascii="Times New Roman" w:cs="Times New Roman" w:eastAsia="Times New Roman" w:hAnsi="Times New Roman"/>
          <w:sz w:val="18"/>
          <w:szCs w:val="18"/>
          <w:color w:val="auto"/>
        </w:rPr>
      </w:pPr>
    </w:p>
    <w:p>
      <w:pPr>
        <w:ind w:left="1264" w:right="5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LLC - 992,868 shares Silvercrest L.P. - 992,868 shares</w:t>
      </w:r>
    </w:p>
    <w:p>
      <w:pPr>
        <w:ind w:left="1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Silvercrest Asset Management Group Inc. - 992,868 shares</w:t>
      </w:r>
    </w:p>
    <w:p>
      <w:pPr>
        <w:spacing w:after="0" w:line="247" w:lineRule="exact"/>
        <w:rPr>
          <w:rFonts w:ascii="Times New Roman" w:cs="Times New Roman" w:eastAsia="Times New Roman" w:hAnsi="Times New Roman"/>
          <w:sz w:val="18"/>
          <w:szCs w:val="18"/>
          <w:color w:val="auto"/>
        </w:rPr>
      </w:pPr>
    </w:p>
    <w:p>
      <w:pPr>
        <w:ind w:left="544" w:hanging="544"/>
        <w:spacing w:after="0" w:line="266" w:lineRule="auto"/>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reported herein represent shares held by investment advisory clients of SAMG LLC. Silvercrest L.P. is the sole member of SAMG LLC. Silvercrest Asset Management Group Inc. is the general partner of Silvercrest L.P. Each of the Reporting Persons disclaims beneficial ownership of the shares reported herein except to the extent of its pecuniary interest therein.</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4" w:right="520" w:hanging="1092"/>
        <w:spacing w:after="0" w:line="286" w:lineRule="auto"/>
        <w:tabs>
          <w:tab w:leader="none" w:pos="1064"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64"/>
          </w:cols>
          <w:pgMar w:left="436" w:top="270" w:right="499" w:bottom="1440" w:gutter="0" w:footer="0" w:header="0"/>
        </w:sectPr>
      </w:pPr>
    </w:p>
    <w:bookmarkStart w:id="7" w:name="page8"/>
    <w:bookmarkEnd w:id="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0920"/>
          </w:cols>
          <w:pgMar w:left="440" w:top="266" w:right="5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2021</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SILVERCREST ASSET MANAGEMENT GROUP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Silvercrest L.P., its sole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J.Campbell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J. Campbell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Secretary</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SILVERCREST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J.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J. Campbell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Secretary</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SILVERCREST ASSET MANAGEMENT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J.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J. Campbell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0920"/>
          </w:cols>
          <w:pgMar w:left="440" w:top="266" w:right="5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February 16, 2021, is by and among Silvercrest Asset Management Group LLC, Silvercrest L.P. and Silvercrest Asset Management Group Inc. (collectively, the “Filers”).</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13D and/or 13G with respect to shares of Common Stock of Oxford Industries, Inc. beneficially owned by them from time to time.</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Joint Filing Agreement may be terminated by any of the Filers upon written notice or such lesser period of notice as the Filers may mutually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SILVERCREST ASSET MANAGEMENT GROUP LLC</w:t>
      </w:r>
    </w:p>
    <w:p>
      <w:pPr>
        <w:spacing w:after="0" w:line="225" w:lineRule="exact"/>
        <w:rPr>
          <w:sz w:val="20"/>
          <w:szCs w:val="20"/>
          <w:color w:val="auto"/>
        </w:rPr>
      </w:pPr>
    </w:p>
    <w:p>
      <w:pPr>
        <w:ind w:left="606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Silvercrest L.P., its sole member</w:t>
      </w:r>
    </w:p>
    <w:p>
      <w:pPr>
        <w:spacing w:after="0" w:line="225" w:lineRule="exact"/>
        <w:rPr>
          <w:sz w:val="20"/>
          <w:szCs w:val="20"/>
          <w:color w:val="auto"/>
        </w:rPr>
      </w:pPr>
    </w:p>
    <w:p>
      <w:pPr>
        <w:ind w:left="606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17145</wp:posOffset>
            </wp:positionV>
            <wp:extent cx="29229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David J. Campbell</w:t>
      </w:r>
    </w:p>
    <w:p>
      <w:pPr>
        <w:spacing w:after="0" w:line="23"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8"/>
          <w:szCs w:val="18"/>
          <w:color w:val="auto"/>
        </w:rPr>
        <w:t>Secretary</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SILVERCREST L.P.</w:t>
      </w:r>
    </w:p>
    <w:p>
      <w:pPr>
        <w:spacing w:after="0" w:line="225" w:lineRule="exact"/>
        <w:rPr>
          <w:sz w:val="20"/>
          <w:szCs w:val="20"/>
          <w:color w:val="auto"/>
        </w:rPr>
      </w:pPr>
    </w:p>
    <w:p>
      <w:pPr>
        <w:ind w:left="606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17145</wp:posOffset>
            </wp:positionV>
            <wp:extent cx="29229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David J. Campbell</w:t>
      </w:r>
    </w:p>
    <w:p>
      <w:pPr>
        <w:spacing w:after="0" w:line="2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SILVERCREST ASSET MANAGEMENT GROUP INC.</w:t>
      </w:r>
    </w:p>
    <w:p>
      <w:pPr>
        <w:spacing w:after="0" w:line="225" w:lineRule="exact"/>
        <w:rPr>
          <w:sz w:val="20"/>
          <w:szCs w:val="20"/>
          <w:color w:val="auto"/>
        </w:rPr>
      </w:pPr>
    </w:p>
    <w:p>
      <w:pPr>
        <w:ind w:left="606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17145</wp:posOffset>
            </wp:positionV>
            <wp:extent cx="29229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David J. Campbell</w:t>
      </w:r>
    </w:p>
    <w:p>
      <w:pPr>
        <w:spacing w:after="0" w:line="2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2021-02-16T11:17:45Z</dcterms:created>
  <dcterms:modified xsi:type="dcterms:W3CDTF">2021-02-16T11:17:45Z</dcterms:modified>
</cp:coreProperties>
</file>