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12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Oxford Industries,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1440" w:right="339" w:bottom="1440" w:gutter="0" w:footer="0" w:header="0"/>
        </w:sectPr>
      </w:pPr>
    </w:p>
    <w:p>
      <w:pPr>
        <w:spacing w:after="0" w:line="24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Georgia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7"/>
          <w:szCs w:val="17"/>
          <w:b w:val="1"/>
          <w:bCs w:val="1"/>
          <w:color w:val="auto"/>
        </w:rPr>
        <w:t>001-04365</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58-0831862</w:t>
      </w:r>
    </w:p>
    <w:p>
      <w:pPr>
        <w:spacing w:after="0" w:line="65" w:lineRule="exact"/>
        <w:rPr>
          <w:sz w:val="24"/>
          <w:szCs w:val="24"/>
          <w:color w:val="auto"/>
        </w:rPr>
      </w:pPr>
    </w:p>
    <w:p>
      <w:pPr>
        <w:sectPr>
          <w:pgSz w:w="11900" w:h="16838" w:orient="portrait"/>
          <w:cols w:equalWidth="0" w:num="3">
            <w:col w:w="4440" w:space="720"/>
            <w:col w:w="2900" w:space="720"/>
            <w:col w:w="2460"/>
          </w:cols>
          <w:pgMar w:left="320" w:top="144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640" w:space="720"/>
            <w:col w:w="3340"/>
          </w:cols>
          <w:pgMar w:left="320" w:top="1440"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999 Peachtree Street, N.E., Suite 1225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659-2424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358"/>
        </w:trPr>
        <w:tc>
          <w:tcPr>
            <w:tcW w:w="45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Common Stock, $1 par value</w:t>
            </w:r>
          </w:p>
        </w:tc>
        <w:tc>
          <w:tcPr>
            <w:tcW w:w="2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OXM</w:t>
            </w:r>
          </w:p>
        </w:tc>
        <w:tc>
          <w:tcPr>
            <w:tcW w:w="4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1109980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June 23, 2026, Oxford Industries, Inc. (the “Company”) held its 2026 Annual Meeting of Shareholders. At the meeting, shareholders voted on the following items:</w:t>
      </w:r>
    </w:p>
    <w:p>
      <w:pPr>
        <w:spacing w:after="0" w:line="18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three nominees for Class I director were elected to serve on the Company’s Board of Directors for a three year term expiring in 2029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respective successors are elected and qualified. The results of the election were as follows:</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14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For</w:t>
            </w:r>
          </w:p>
        </w:tc>
        <w:tc>
          <w:tcPr>
            <w:tcW w:w="2760" w:type="dxa"/>
            <w:vAlign w:val="bottom"/>
            <w:gridSpan w:val="3"/>
          </w:tcPr>
          <w:p>
            <w:pPr>
              <w:ind w:left="640"/>
              <w:spacing w:after="0" w:line="195" w:lineRule="exact"/>
              <w:rPr>
                <w:sz w:val="20"/>
                <w:szCs w:val="20"/>
                <w:color w:val="auto"/>
              </w:rPr>
            </w:pPr>
            <w:r>
              <w:rPr>
                <w:rFonts w:ascii="Times New Roman" w:cs="Times New Roman" w:eastAsia="Times New Roman" w:hAnsi="Times New Roman"/>
                <w:sz w:val="18"/>
                <w:szCs w:val="18"/>
                <w:color w:val="auto"/>
              </w:rPr>
              <w:t>Against</w:t>
            </w:r>
          </w:p>
        </w:tc>
        <w:tc>
          <w:tcPr>
            <w:tcW w:w="2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Abstain</w:t>
            </w:r>
          </w:p>
        </w:tc>
        <w:tc>
          <w:tcPr>
            <w:tcW w:w="2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Broker Non-Vote</w:t>
            </w: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M. Love</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10,948,296</w:t>
            </w:r>
          </w:p>
        </w:tc>
        <w:tc>
          <w:tcPr>
            <w:tcW w:w="2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614,913</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27,488</w:t>
            </w: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1,769,881</w:t>
            </w: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C. Tuggle</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11,146,806</w:t>
            </w:r>
          </w:p>
        </w:tc>
        <w:tc>
          <w:tcPr>
            <w:tcW w:w="27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416,499</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27,392</w:t>
            </w:r>
          </w:p>
        </w:tc>
        <w:tc>
          <w:tcPr>
            <w:tcW w:w="158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1,769,881</w:t>
            </w: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 B. Yancey</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9,680,703</w:t>
            </w:r>
          </w:p>
        </w:tc>
        <w:tc>
          <w:tcPr>
            <w:tcW w:w="2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1,881,127</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28,867</w:t>
            </w:r>
          </w:p>
        </w:tc>
        <w:tc>
          <w:tcPr>
            <w:tcW w:w="1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1,769,881</w:t>
            </w:r>
          </w:p>
        </w:tc>
        <w:tc>
          <w:tcPr>
            <w:tcW w:w="88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Company’s shareholders approved the Company’s Long-Term Stock Incentive Plan as amended and restated to, among other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750,000 additional shares of common stock for issuance under the plan. The voting results were as follows:</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For</w:t>
            </w:r>
          </w:p>
        </w:tc>
        <w:tc>
          <w:tcPr>
            <w:tcW w:w="14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Against</w:t>
            </w:r>
          </w:p>
        </w:tc>
        <w:tc>
          <w:tcPr>
            <w:tcW w:w="3040" w:type="dxa"/>
            <w:vAlign w:val="bottom"/>
            <w:gridSpan w:val="3"/>
          </w:tcPr>
          <w:p>
            <w:pPr>
              <w:ind w:left="820"/>
              <w:spacing w:after="0" w:line="195" w:lineRule="exact"/>
              <w:rPr>
                <w:sz w:val="20"/>
                <w:szCs w:val="20"/>
                <w:color w:val="auto"/>
              </w:rPr>
            </w:pPr>
            <w:r>
              <w:rPr>
                <w:rFonts w:ascii="Times New Roman" w:cs="Times New Roman" w:eastAsia="Times New Roman" w:hAnsi="Times New Roman"/>
                <w:sz w:val="18"/>
                <w:szCs w:val="18"/>
                <w:color w:val="auto"/>
              </w:rPr>
              <w:t>Abstain</w:t>
            </w:r>
          </w:p>
        </w:tc>
        <w:tc>
          <w:tcPr>
            <w:tcW w:w="22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Broker Non-Vote</w:t>
            </w: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9"/>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10,706,223</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854,197</w:t>
            </w:r>
          </w:p>
        </w:tc>
        <w:tc>
          <w:tcPr>
            <w:tcW w:w="13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30,277</w:t>
            </w:r>
          </w:p>
        </w:tc>
        <w:tc>
          <w:tcPr>
            <w:tcW w:w="1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1,769,881</w:t>
            </w:r>
          </w:p>
        </w:tc>
        <w:tc>
          <w:tcPr>
            <w:tcW w:w="98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ind w:right="7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Company’s shareholders approved the selection of Ernst &amp; Young LLP to serve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fiscal 2026. The voting results were as follows:</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5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For</w:t>
            </w:r>
          </w:p>
        </w:tc>
        <w:tc>
          <w:tcPr>
            <w:tcW w:w="2940" w:type="dxa"/>
            <w:vAlign w:val="bottom"/>
            <w:gridSpan w:val="3"/>
          </w:tcPr>
          <w:p>
            <w:pPr>
              <w:ind w:left="720"/>
              <w:spacing w:after="0" w:line="195" w:lineRule="exact"/>
              <w:rPr>
                <w:sz w:val="20"/>
                <w:szCs w:val="20"/>
                <w:color w:val="auto"/>
              </w:rPr>
            </w:pPr>
            <w:r>
              <w:rPr>
                <w:rFonts w:ascii="Times New Roman" w:cs="Times New Roman" w:eastAsia="Times New Roman" w:hAnsi="Times New Roman"/>
                <w:sz w:val="18"/>
                <w:szCs w:val="18"/>
                <w:color w:val="auto"/>
              </w:rPr>
              <w:t>Against</w:t>
            </w:r>
          </w:p>
        </w:tc>
        <w:tc>
          <w:tcPr>
            <w:tcW w:w="22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Abstain</w:t>
            </w: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1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13,175,307</w:t>
            </w:r>
          </w:p>
        </w:tc>
        <w:tc>
          <w:tcPr>
            <w:tcW w:w="29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156,729</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28,542</w:t>
            </w:r>
          </w:p>
        </w:tc>
        <w:tc>
          <w:tcPr>
            <w:tcW w:w="166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The Company’s shareholders approved, on an advisory basis, a resolution regarding the compensation of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 voting results were as follows:</w:t>
      </w: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2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For</w:t>
            </w:r>
          </w:p>
        </w:tc>
        <w:tc>
          <w:tcPr>
            <w:tcW w:w="14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Against</w:t>
            </w:r>
          </w:p>
        </w:tc>
        <w:tc>
          <w:tcPr>
            <w:tcW w:w="3040" w:type="dxa"/>
            <w:vAlign w:val="bottom"/>
            <w:gridSpan w:val="3"/>
          </w:tcPr>
          <w:p>
            <w:pPr>
              <w:ind w:left="820"/>
              <w:spacing w:after="0" w:line="195" w:lineRule="exact"/>
              <w:rPr>
                <w:sz w:val="20"/>
                <w:szCs w:val="20"/>
                <w:color w:val="auto"/>
              </w:rPr>
            </w:pPr>
            <w:r>
              <w:rPr>
                <w:rFonts w:ascii="Times New Roman" w:cs="Times New Roman" w:eastAsia="Times New Roman" w:hAnsi="Times New Roman"/>
                <w:sz w:val="18"/>
                <w:szCs w:val="18"/>
                <w:color w:val="auto"/>
              </w:rPr>
              <w:t>Abstain</w:t>
            </w:r>
          </w:p>
        </w:tc>
        <w:tc>
          <w:tcPr>
            <w:tcW w:w="45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Broker Non-Vote</w:t>
            </w:r>
          </w:p>
        </w:tc>
      </w:tr>
      <w:tr>
        <w:trPr>
          <w:trHeight w:val="21"/>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9"/>
        </w:trPr>
        <w:tc>
          <w:tcPr>
            <w:tcW w:w="2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11,212,030</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262,069</w:t>
            </w:r>
          </w:p>
        </w:tc>
        <w:tc>
          <w:tcPr>
            <w:tcW w:w="30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116,598</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1,769,881</w:t>
            </w:r>
          </w:p>
        </w:tc>
        <w:tc>
          <w:tcPr>
            <w:tcW w:w="980" w:type="dxa"/>
            <w:vAlign w:val="bottom"/>
            <w:shd w:val="clear" w:color="auto" w:fill="CCEEFF"/>
          </w:tcPr>
          <w:p>
            <w:pPr>
              <w:spacing w:after="0"/>
              <w:rPr>
                <w:sz w:val="19"/>
                <w:szCs w:val="19"/>
                <w:color w:val="auto"/>
              </w:rPr>
            </w:pPr>
          </w:p>
        </w:tc>
        <w:tc>
          <w:tcPr>
            <w:tcW w:w="2300" w:type="dxa"/>
            <w:vAlign w:val="bottom"/>
          </w:tcPr>
          <w:p>
            <w:pPr>
              <w:spacing w:after="0"/>
              <w:rPr>
                <w:sz w:val="19"/>
                <w:szCs w:val="19"/>
                <w:color w:val="auto"/>
              </w:rPr>
            </w:pPr>
          </w:p>
        </w:tc>
      </w:tr>
      <w:tr>
        <w:trPr>
          <w:trHeight w:val="1505"/>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Oxford Industries, Inc.</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5560" w:val="left"/>
          <w:tab w:leader="none" w:pos="606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O. Leptich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-7620</wp:posOffset>
            </wp:positionV>
            <wp:extent cx="1316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Jonathan O. Leptich</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2026-06-26T16:33:56Z</dcterms:created>
  <dcterms:modified xsi:type="dcterms:W3CDTF">2026-06-26T16:33:56Z</dcterms:modified>
</cp:coreProperties>
</file>