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00"/>
        <w:jc w:val="center"/>
        <w:rPr>
          <w:rFonts w:ascii="Times New Roman;serif" w:hAnsi="Times New Roman;serif"/>
          <w:b/>
          <w:color w:val="000000"/>
          <w:sz w:val="32"/>
        </w:rPr>
      </w:pPr>
      <w:r>
        <w:rPr>
          <w:rFonts w:ascii="Times New Roman;serif" w:hAnsi="Times New Roman;serif"/>
          <w:b/>
          <w:color w:val="000000"/>
          <w:sz w:val="32"/>
        </w:rPr>
        <w:t>FORM 10-Q</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August 1, 2026</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or</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24"/>
              </w:rPr>
            </w:pPr>
            <w:r>
              <w:rPr>
                <w:rFonts w:ascii="Wingdings;sans-serif" w:hAnsi="Wingdings;sans-serif"/>
                <w:b/>
                <w:color w:val="000000"/>
                <w:sz w:val="24"/>
              </w:rPr>
              <w:t>o</w:t>
            </w:r>
          </w:p>
        </w:tc>
        <w:tc>
          <w:tcPr>
            <w:tcW w:w="9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For the transition period from____to____</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Commission File Number: 1-4365</w:t>
      </w:r>
    </w:p>
    <w:p>
      <w:pPr>
        <w:pStyle w:val="TextBody"/>
        <w:bidi w:val="0"/>
        <w:spacing w:lineRule="auto" w:line="288" w:before="0" w:after="0"/>
        <w:jc w:val="center"/>
        <w:rPr>
          <w:rFonts w:ascii="Times New Roman;serif" w:hAnsi="Times New Roman;serif"/>
          <w:b/>
          <w:color w:val="000000"/>
          <w:sz w:val="48"/>
          <w:u w:val="single"/>
        </w:rPr>
      </w:pPr>
      <w:r>
        <w:rPr>
          <w:rFonts w:ascii="Times New Roman;serif" w:hAnsi="Times New Roman;serif"/>
          <w:b/>
          <w:color w:val="000000"/>
          <w:sz w:val="48"/>
          <w:u w:val="single"/>
        </w:rPr>
        <w:t>OXFORD INDUSTRIES, INC.</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58-0831862</w:t>
            </w:r>
          </w:p>
        </w:tc>
      </w:tr>
      <w:tr>
        <w:trPr/>
        <w:tc>
          <w:tcPr>
            <w:tcW w:w="4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pPr>
      <w:r>
        <w:rPr>
          <w:rFonts w:ascii="Times New Roman;serif" w:hAnsi="Times New Roman;serif"/>
          <w:b/>
          <w:color w:val="000000"/>
          <w:sz w:val="20"/>
          <w:u w:val="single"/>
        </w:rPr>
        <w:t>999 Peachtree Street, N.E.</w:t>
      </w:r>
      <w:r>
        <w:rPr>
          <w:rFonts w:ascii="Times New Roman;serif" w:hAnsi="Times New Roman;serif"/>
          <w:b w:val="false"/>
          <w:color w:val="000000"/>
          <w:sz w:val="20"/>
        </w:rPr>
        <w:t>,</w:t>
      </w:r>
      <w:r>
        <w:rPr>
          <w:color w:val="000000"/>
          <w:u w:val="single"/>
        </w:rPr>
        <w:t xml:space="preserve"> </w:t>
      </w:r>
      <w:r>
        <w:rPr>
          <w:rFonts w:ascii="Times New Roman;serif" w:hAnsi="Times New Roman;serif"/>
          <w:b/>
          <w:color w:val="000000"/>
          <w:sz w:val="20"/>
          <w:u w:val="single"/>
        </w:rPr>
        <w:t>Suite 1225</w:t>
      </w:r>
      <w:r>
        <w:rPr>
          <w:rFonts w:ascii="Arial;sans-serif" w:hAnsi="Arial;sans-serif"/>
          <w:b w:val="false"/>
          <w:color w:val="000000"/>
          <w:sz w:val="24"/>
        </w:rPr>
        <w:t>,</w:t>
      </w:r>
      <w:r>
        <w:rPr>
          <w:color w:val="000000"/>
        </w:rPr>
        <w:t xml:space="preserve"> </w:t>
      </w:r>
      <w:r>
        <w:rPr>
          <w:rFonts w:ascii="Times New Roman;serif" w:hAnsi="Times New Roman;serif"/>
          <w:b/>
          <w:color w:val="000000"/>
          <w:sz w:val="20"/>
          <w:u w:val="single"/>
        </w:rPr>
        <w:t>Atlanta</w:t>
      </w:r>
      <w:r>
        <w:rPr>
          <w:rFonts w:ascii="Arial;sans-serif" w:hAnsi="Arial;sans-serif"/>
          <w:b w:val="false"/>
          <w:color w:val="000000"/>
          <w:sz w:val="24"/>
        </w:rPr>
        <w:t xml:space="preserve">, </w:t>
      </w:r>
      <w:r>
        <w:rPr>
          <w:rFonts w:ascii="Times New Roman;serif" w:hAnsi="Times New Roman;serif"/>
          <w:b/>
          <w:color w:val="000000"/>
          <w:sz w:val="20"/>
          <w:u w:val="single"/>
        </w:rPr>
        <w:t>Georgia</w:t>
      </w:r>
      <w:r>
        <w:rPr>
          <w:color w:val="000000"/>
        </w:rPr>
        <w:t xml:space="preserve"> </w:t>
      </w:r>
      <w:r>
        <w:rPr>
          <w:rFonts w:ascii="Times New Roman;serif" w:hAnsi="Times New Roman;serif"/>
          <w:b/>
          <w:color w:val="000000"/>
          <w:sz w:val="20"/>
          <w:u w:val="single"/>
        </w:rPr>
        <w:t>30309</w:t>
      </w:r>
    </w:p>
    <w:p>
      <w:pPr>
        <w:pStyle w:val="TextBody"/>
        <w:bidi w:val="0"/>
        <w:spacing w:lineRule="auto" w:line="288" w:before="0" w:after="10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(404) 659-2424</w:t>
      </w:r>
    </w:p>
    <w:p>
      <w:pPr>
        <w:pStyle w:val="TextBody"/>
        <w:bidi w:val="0"/>
        <w:spacing w:lineRule="auto" w:line="288" w:before="0" w:after="10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943" w:type="dxa"/>
        <w:jc w:val="left"/>
        <w:tblInd w:w="0" w:type="dxa"/>
        <w:tblLayout w:type="fixed"/>
        <w:tblCellMar>
          <w:top w:w="28" w:type="dxa"/>
          <w:left w:w="28" w:type="dxa"/>
          <w:bottom w:w="28" w:type="dxa"/>
          <w:right w:w="28" w:type="dxa"/>
        </w:tblCellMar>
      </w:tblPr>
      <w:tblGrid>
        <w:gridCol w:w="897"/>
        <w:gridCol w:w="783"/>
        <w:gridCol w:w="794"/>
        <w:gridCol w:w="414"/>
        <w:gridCol w:w="414"/>
        <w:gridCol w:w="416"/>
        <w:gridCol w:w="945"/>
        <w:gridCol w:w="945"/>
        <w:gridCol w:w="1335"/>
      </w:tblGrid>
      <w:tr>
        <w:trPr/>
        <w:tc>
          <w:tcPr>
            <w:tcW w:w="89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2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$1 par value</w:t>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OXM</w:t>
            </w:r>
          </w:p>
        </w:tc>
        <w:tc>
          <w:tcPr>
            <w:tcW w:w="3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100"/>
        <w:ind w:left="0" w:right="0" w:firstLine="36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00"/>
        <w:ind w:left="0" w:right="0" w:firstLine="36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713"/>
        <w:gridCol w:w="627"/>
        <w:gridCol w:w="629"/>
        <w:gridCol w:w="459"/>
        <w:gridCol w:w="459"/>
        <w:gridCol w:w="461"/>
        <w:gridCol w:w="109"/>
        <w:gridCol w:w="109"/>
        <w:gridCol w:w="109"/>
        <w:gridCol w:w="642"/>
        <w:gridCol w:w="642"/>
        <w:gridCol w:w="644"/>
        <w:gridCol w:w="756"/>
        <w:gridCol w:w="756"/>
        <w:gridCol w:w="759"/>
        <w:gridCol w:w="680"/>
        <w:gridCol w:w="680"/>
        <w:gridCol w:w="971"/>
      </w:tblGrid>
      <w:tr>
        <w:trPr/>
        <w:tc>
          <w:tcPr>
            <w:tcW w:w="71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Large accelerated filer </w:t>
            </w:r>
            <w:r>
              <w:rPr>
                <w:rFonts w:ascii="Wingdings;sans-serif" w:hAnsi="Wingdings;sans-serif"/>
                <w:b w:val="false"/>
                <w:color w:val="000000"/>
                <w:sz w:val="20"/>
              </w:rPr>
              <w:t>o</w:t>
            </w:r>
          </w:p>
        </w:tc>
        <w:tc>
          <w:tcPr>
            <w:tcW w:w="137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000000"/>
                <w:sz w:val="20"/>
              </w:rPr>
            </w:pPr>
            <w:r>
              <w:rPr>
                <w:rFonts w:ascii="Wingdings;sans-serif" w:hAnsi="Wingdings;sans-serif"/>
                <w:b w:val="false"/>
                <w:color w:val="000000"/>
                <w:sz w:val="20"/>
              </w:rPr>
              <w:t>x</w:t>
            </w:r>
          </w:p>
        </w:tc>
        <w:tc>
          <w:tcPr>
            <w:tcW w:w="1928"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20"/>
              </w:rPr>
              <w:t xml:space="preserve">Non-accelerated filer </w:t>
            </w:r>
            <w:r>
              <w:rPr>
                <w:rFonts w:ascii="Wingdings;sans-serif" w:hAnsi="Wingdings;sans-serif"/>
                <w:b w:val="false"/>
                <w:color w:val="000000"/>
                <w:sz w:val="20"/>
              </w:rPr>
              <w:t>o</w:t>
            </w:r>
          </w:p>
        </w:tc>
        <w:tc>
          <w:tcPr>
            <w:tcW w:w="227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20"/>
              </w:rPr>
              <w:t xml:space="preserve">Smaller reporting company </w:t>
            </w:r>
            <w:r>
              <w:rPr>
                <w:rFonts w:ascii="Wingdings;sans-serif" w:hAnsi="Wingdings;sans-serif"/>
                <w:b w:val="false"/>
                <w:color w:val="000000"/>
                <w:sz w:val="20"/>
              </w:rPr>
              <w:t>o</w:t>
            </w:r>
          </w:p>
        </w:tc>
        <w:tc>
          <w:tcPr>
            <w:tcW w:w="233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tc>
      </w:tr>
    </w:tbl>
    <w:p>
      <w:pPr>
        <w:pStyle w:val="TextBody"/>
        <w:bidi w:val="0"/>
        <w:spacing w:lineRule="auto" w:line="288" w:before="0" w:after="100"/>
        <w:ind w:left="0" w:right="0" w:firstLine="3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00"/>
        <w:ind w:left="0" w:right="0" w:firstLine="36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00"/>
        <w:jc w:val="left"/>
        <w:rPr/>
      </w:pPr>
      <w:r>
        <w:rPr>
          <w:rFonts w:ascii="Times New Roman;serif" w:hAnsi="Times New Roman;serif"/>
          <w:b w:val="false"/>
          <w:color w:val="000000"/>
          <w:sz w:val="20"/>
        </w:rPr>
        <w:t>As of September 1, 2026, there were 14,978,274</w:t>
      </w:r>
      <w:r>
        <w:rPr>
          <w:color w:val="000000"/>
        </w:rPr>
        <w:t xml:space="preserve"> </w:t>
      </w:r>
      <w:r>
        <w:rPr>
          <w:rFonts w:ascii="Times New Roman;serif" w:hAnsi="Times New Roman;serif"/>
          <w:b w:val="false"/>
          <w:color w:val="000000"/>
          <w:sz w:val="20"/>
        </w:rPr>
        <w:t>shares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OXFORD INDUSTRIES,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INDEX TO FORM 10-Q</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For the Second Quarter of Fiscal 2026</w:t>
      </w:r>
    </w:p>
    <w:tbl>
      <w:tblPr>
        <w:tblW w:w="8490" w:type="dxa"/>
        <w:jc w:val="left"/>
        <w:tblInd w:w="0" w:type="dxa"/>
        <w:tblLayout w:type="fixed"/>
        <w:tblCellMar>
          <w:top w:w="28" w:type="dxa"/>
          <w:left w:w="28" w:type="dxa"/>
          <w:bottom w:w="28" w:type="dxa"/>
          <w:right w:w="28" w:type="dxa"/>
        </w:tblCellMar>
      </w:tblPr>
      <w:tblGrid>
        <w:gridCol w:w="2889"/>
        <w:gridCol w:w="2542"/>
        <w:gridCol w:w="2548"/>
        <w:gridCol w:w="149"/>
        <w:gridCol w:w="149"/>
        <w:gridCol w:w="213"/>
      </w:tblGrid>
      <w:tr>
        <w:trPr/>
        <w:tc>
          <w:tcPr>
            <w:tcW w:w="2889"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97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2f68eae8f7454a24b011b075ff4ee51b_16">
              <w:r>
                <w:rPr>
                  <w:rStyle w:val="InternetLink"/>
                  <w:rFonts w:ascii="Times New Roman;serif" w:hAnsi="Times New Roman;serif"/>
                  <w:b w:val="false"/>
                  <w:color w:val="0000FF"/>
                  <w:sz w:val="20"/>
                  <w:u w:val="single"/>
                </w:rPr>
                <w:t>PART I. FINANCIAL INFORMATION</w:t>
              </w:r>
            </w:hyperlink>
          </w:p>
        </w:tc>
        <w:tc>
          <w:tcPr>
            <w:tcW w:w="5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68eae8f7454a24b011b075ff4ee51b_19">
              <w:r>
                <w:rPr>
                  <w:rStyle w:val="InternetLink"/>
                  <w:rFonts w:ascii="Times New Roman;serif" w:hAnsi="Times New Roman;serif"/>
                  <w:b w:val="false"/>
                  <w:color w:val="0000FF"/>
                  <w:sz w:val="20"/>
                  <w:u w:val="single"/>
                </w:rPr>
                <w:t>Item 1. Financial Statements</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2f68eae8f7454a24b011b075ff4ee51b_22">
              <w:r>
                <w:rPr>
                  <w:rStyle w:val="InternetLink"/>
                  <w:rFonts w:ascii="Times New Roman;serif" w:hAnsi="Times New Roman;serif"/>
                  <w:b w:val="false"/>
                  <w:color w:val="0000FF"/>
                  <w:sz w:val="20"/>
                  <w:u w:val="single"/>
                </w:rPr>
                <w:t>Condensed Consolidated Balance Sheets (Unaudited)</w:t>
              </w:r>
            </w:hyperlink>
          </w:p>
        </w:tc>
        <w:tc>
          <w:tcPr>
            <w:tcW w:w="511"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right"/>
              <w:rPr/>
            </w:pPr>
            <w:hyperlink w:anchor="i2f68eae8f7454a24b011b075ff4ee51b_22">
              <w:r>
                <w:rPr>
                  <w:rStyle w:val="InternetLink"/>
                  <w:rFonts w:ascii="Times New Roman;serif" w:hAnsi="Times New Roman;serif"/>
                  <w:b w:val="false"/>
                  <w:strike w:val="false"/>
                  <w:dstrike w:val="false"/>
                  <w:color w:val="000000"/>
                  <w:sz w:val="20"/>
                  <w:u w:val="none"/>
                  <w:effect w:val="none"/>
                </w:rPr>
                <w:t>6</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f68eae8f7454a24b011b075ff4ee51b_25">
              <w:r>
                <w:rPr>
                  <w:rStyle w:val="InternetLink"/>
                  <w:rFonts w:ascii="Times New Roman;serif" w:hAnsi="Times New Roman;serif"/>
                  <w:b w:val="false"/>
                  <w:color w:val="0000FF"/>
                  <w:sz w:val="20"/>
                  <w:u w:val="single"/>
                </w:rPr>
                <w:t>Condensed Consolidated Statements of Operations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2f68eae8f7454a24b011b075ff4ee51b_25">
              <w:r>
                <w:rPr>
                  <w:rStyle w:val="InternetLink"/>
                  <w:rFonts w:ascii="Times New Roman;serif" w:hAnsi="Times New Roman;serif"/>
                  <w:b w:val="false"/>
                  <w:strike w:val="false"/>
                  <w:dstrike w:val="false"/>
                  <w:color w:val="000000"/>
                  <w:sz w:val="20"/>
                  <w:u w:val="none"/>
                  <w:effect w:val="none"/>
                </w:rPr>
                <w:t>7</w:t>
              </w:r>
            </w:hyperlink>
          </w:p>
        </w:tc>
      </w:tr>
      <w:tr>
        <w:trPr/>
        <w:tc>
          <w:tcPr>
            <w:tcW w:w="797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2f68eae8f7454a24b011b075ff4ee51b_28">
              <w:r>
                <w:rPr>
                  <w:rStyle w:val="InternetLink"/>
                  <w:rFonts w:ascii="Times New Roman;serif" w:hAnsi="Times New Roman;serif"/>
                  <w:b w:val="false"/>
                  <w:color w:val="0000FF"/>
                  <w:sz w:val="20"/>
                  <w:u w:val="single"/>
                </w:rPr>
                <w:t>Condensed Consolidated Statements of Comprehensive Income (Unaudited)</w:t>
              </w:r>
            </w:hyperlink>
          </w:p>
        </w:tc>
        <w:tc>
          <w:tcPr>
            <w:tcW w:w="511"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right"/>
              <w:rPr/>
            </w:pPr>
            <w:hyperlink w:anchor="i2f68eae8f7454a24b011b075ff4ee51b_28">
              <w:r>
                <w:rPr>
                  <w:rStyle w:val="InternetLink"/>
                  <w:rFonts w:ascii="Times New Roman;serif" w:hAnsi="Times New Roman;serif"/>
                  <w:b w:val="false"/>
                  <w:strike w:val="false"/>
                  <w:dstrike w:val="false"/>
                  <w:color w:val="000000"/>
                  <w:sz w:val="20"/>
                  <w:u w:val="none"/>
                  <w:effect w:val="none"/>
                </w:rPr>
                <w:t>8</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f68eae8f7454a24b011b075ff4ee51b_31">
              <w:r>
                <w:rPr>
                  <w:rStyle w:val="InternetLink"/>
                  <w:rFonts w:ascii="Times New Roman;serif" w:hAnsi="Times New Roman;serif"/>
                  <w:b w:val="false"/>
                  <w:color w:val="0000FF"/>
                  <w:sz w:val="20"/>
                  <w:u w:val="single"/>
                </w:rPr>
                <w:t>Condensed Consolidated Statements of Cash Flows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2f68eae8f7454a24b011b075ff4ee51b_31">
              <w:r>
                <w:rPr>
                  <w:rStyle w:val="InternetLink"/>
                  <w:rFonts w:ascii="Times New Roman;serif" w:hAnsi="Times New Roman;serif"/>
                  <w:b w:val="false"/>
                  <w:strike w:val="false"/>
                  <w:dstrike w:val="false"/>
                  <w:color w:val="000000"/>
                  <w:sz w:val="20"/>
                  <w:u w:val="none"/>
                  <w:effect w:val="none"/>
                </w:rPr>
                <w:t>9</w:t>
              </w:r>
            </w:hyperlink>
          </w:p>
        </w:tc>
      </w:tr>
      <w:tr>
        <w:trPr/>
        <w:tc>
          <w:tcPr>
            <w:tcW w:w="797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2f68eae8f7454a24b011b075ff4ee51b_34">
              <w:r>
                <w:rPr>
                  <w:rStyle w:val="InternetLink"/>
                  <w:rFonts w:ascii="Times New Roman;serif" w:hAnsi="Times New Roman;serif"/>
                  <w:b w:val="false"/>
                  <w:color w:val="0000FF"/>
                  <w:sz w:val="20"/>
                  <w:u w:val="single"/>
                </w:rPr>
                <w:t>Condensed Consolidated Statements of Changes in Equity (Unaudited)</w:t>
              </w:r>
            </w:hyperlink>
          </w:p>
        </w:tc>
        <w:tc>
          <w:tcPr>
            <w:tcW w:w="511"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right"/>
              <w:rPr/>
            </w:pPr>
            <w:hyperlink w:anchor="i2f68eae8f7454a24b011b075ff4ee51b_34">
              <w:r>
                <w:rPr>
                  <w:rStyle w:val="InternetLink"/>
                  <w:rFonts w:ascii="Times New Roman;serif" w:hAnsi="Times New Roman;serif"/>
                  <w:b w:val="false"/>
                  <w:strike w:val="false"/>
                  <w:dstrike w:val="false"/>
                  <w:color w:val="000000"/>
                  <w:sz w:val="20"/>
                  <w:u w:val="none"/>
                  <w:effect w:val="none"/>
                </w:rPr>
                <w:t>10</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f68eae8f7454a24b011b075ff4ee51b_37">
              <w:r>
                <w:rPr>
                  <w:rStyle w:val="InternetLink"/>
                  <w:rFonts w:ascii="Times New Roman;serif" w:hAnsi="Times New Roman;serif"/>
                  <w:b w:val="false"/>
                  <w:color w:val="0000FF"/>
                  <w:sz w:val="20"/>
                  <w:u w:val="single"/>
                </w:rPr>
                <w:t>Notes to Condensed Consolidated 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2f68eae8f7454a24b011b075ff4ee51b_37">
              <w:r>
                <w:rPr>
                  <w:rStyle w:val="InternetLink"/>
                  <w:rFonts w:ascii="Times New Roman;serif" w:hAnsi="Times New Roman;serif"/>
                  <w:b w:val="false"/>
                  <w:strike w:val="false"/>
                  <w:dstrike w:val="false"/>
                  <w:color w:val="000000"/>
                  <w:sz w:val="20"/>
                  <w:u w:val="none"/>
                  <w:effect w:val="none"/>
                </w:rPr>
                <w:t>11</w:t>
              </w:r>
            </w:hyperlink>
          </w:p>
        </w:tc>
      </w:tr>
      <w:tr>
        <w:trPr/>
        <w:tc>
          <w:tcPr>
            <w:tcW w:w="797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2f68eae8f7454a24b011b075ff4ee51b_61">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11"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right"/>
              <w:rPr/>
            </w:pPr>
            <w:hyperlink w:anchor="i2f68eae8f7454a24b011b075ff4ee51b_61">
              <w:r>
                <w:rPr>
                  <w:rStyle w:val="InternetLink"/>
                  <w:rFonts w:ascii="Times New Roman;serif" w:hAnsi="Times New Roman;serif"/>
                  <w:b w:val="false"/>
                  <w:strike w:val="false"/>
                  <w:dstrike w:val="false"/>
                  <w:color w:val="000000"/>
                  <w:sz w:val="20"/>
                  <w:u w:val="none"/>
                  <w:effect w:val="none"/>
                </w:rPr>
                <w:t>20</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f68eae8f7454a24b011b075ff4ee51b_85">
              <w:r>
                <w:rPr>
                  <w:rStyle w:val="InternetLink"/>
                  <w:rFonts w:ascii="Times New Roman;serif" w:hAnsi="Times New Roman;serif"/>
                  <w:b w:val="false"/>
                  <w:color w:val="0000FF"/>
                  <w:sz w:val="20"/>
                  <w:u w:val="single"/>
                </w:rPr>
                <w:t>Item 3. 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2f68eae8f7454a24b011b075ff4ee51b_85">
              <w:r>
                <w:rPr>
                  <w:rStyle w:val="InternetLink"/>
                  <w:rFonts w:ascii="Times New Roman;serif" w:hAnsi="Times New Roman;serif"/>
                  <w:b w:val="false"/>
                  <w:strike w:val="false"/>
                  <w:dstrike w:val="false"/>
                  <w:color w:val="000000"/>
                  <w:sz w:val="20"/>
                  <w:u w:val="none"/>
                  <w:effect w:val="none"/>
                </w:rPr>
                <w:t>46</w:t>
              </w:r>
            </w:hyperlink>
          </w:p>
        </w:tc>
      </w:tr>
      <w:tr>
        <w:trPr/>
        <w:tc>
          <w:tcPr>
            <w:tcW w:w="797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2f68eae8f7454a24b011b075ff4ee51b_88">
              <w:r>
                <w:rPr>
                  <w:rStyle w:val="InternetLink"/>
                  <w:rFonts w:ascii="Times New Roman;serif" w:hAnsi="Times New Roman;serif"/>
                  <w:b w:val="false"/>
                  <w:color w:val="0000FF"/>
                  <w:sz w:val="20"/>
                  <w:u w:val="single"/>
                </w:rPr>
                <w:t>Item 4. Controls and Procedures</w:t>
              </w:r>
            </w:hyperlink>
          </w:p>
        </w:tc>
        <w:tc>
          <w:tcPr>
            <w:tcW w:w="511"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right"/>
              <w:rPr/>
            </w:pPr>
            <w:hyperlink w:anchor="i2f68eae8f7454a24b011b075ff4ee51b_88">
              <w:r>
                <w:rPr>
                  <w:rStyle w:val="InternetLink"/>
                  <w:rFonts w:ascii="Times New Roman;serif" w:hAnsi="Times New Roman;serif"/>
                  <w:b w:val="false"/>
                  <w:strike w:val="false"/>
                  <w:dstrike w:val="false"/>
                  <w:color w:val="000000"/>
                  <w:sz w:val="20"/>
                  <w:u w:val="none"/>
                  <w:effect w:val="none"/>
                </w:rPr>
                <w:t>46</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68eae8f7454a24b011b075ff4ee51b_91">
              <w:r>
                <w:rPr>
                  <w:rStyle w:val="InternetLink"/>
                  <w:rFonts w:ascii="Times New Roman;serif" w:hAnsi="Times New Roman;serif"/>
                  <w:b w:val="false"/>
                  <w:color w:val="0000FF"/>
                  <w:sz w:val="20"/>
                  <w:u w:val="single"/>
                </w:rPr>
                <w:t>PART II.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2f68eae8f7454a24b011b075ff4ee51b_94">
              <w:r>
                <w:rPr>
                  <w:rStyle w:val="InternetLink"/>
                  <w:rFonts w:ascii="Times New Roman;serif" w:hAnsi="Times New Roman;serif"/>
                  <w:b w:val="false"/>
                  <w:color w:val="0000FF"/>
                  <w:sz w:val="20"/>
                  <w:u w:val="single"/>
                </w:rPr>
                <w:t>Item 1. Legal Proceedings</w:t>
              </w:r>
            </w:hyperlink>
          </w:p>
        </w:tc>
        <w:tc>
          <w:tcPr>
            <w:tcW w:w="511"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right"/>
              <w:rPr/>
            </w:pPr>
            <w:hyperlink w:anchor="i2f68eae8f7454a24b011b075ff4ee51b_94">
              <w:r>
                <w:rPr>
                  <w:rStyle w:val="InternetLink"/>
                  <w:rFonts w:ascii="Times New Roman;serif" w:hAnsi="Times New Roman;serif"/>
                  <w:b w:val="false"/>
                  <w:strike w:val="false"/>
                  <w:dstrike w:val="false"/>
                  <w:color w:val="000000"/>
                  <w:sz w:val="20"/>
                  <w:u w:val="none"/>
                  <w:effect w:val="none"/>
                </w:rPr>
                <w:t>46</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f68eae8f7454a24b011b075ff4ee51b_97">
              <w:r>
                <w:rPr>
                  <w:rStyle w:val="InternetLink"/>
                  <w:rFonts w:ascii="Times New Roman;serif" w:hAnsi="Times New Roman;serif"/>
                  <w:b w:val="false"/>
                  <w:color w:val="0000FF"/>
                  <w:sz w:val="20"/>
                  <w:u w:val="single"/>
                </w:rPr>
                <w:t>Item 1A. 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2f68eae8f7454a24b011b075ff4ee51b_97">
              <w:r>
                <w:rPr>
                  <w:rStyle w:val="InternetLink"/>
                  <w:rFonts w:ascii="Times New Roman;serif" w:hAnsi="Times New Roman;serif"/>
                  <w:b w:val="false"/>
                  <w:strike w:val="false"/>
                  <w:dstrike w:val="false"/>
                  <w:color w:val="000000"/>
                  <w:sz w:val="20"/>
                  <w:u w:val="none"/>
                  <w:effect w:val="none"/>
                </w:rPr>
                <w:t>47</w:t>
              </w:r>
            </w:hyperlink>
          </w:p>
        </w:tc>
      </w:tr>
      <w:tr>
        <w:trPr/>
        <w:tc>
          <w:tcPr>
            <w:tcW w:w="797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2f68eae8f7454a24b011b075ff4ee51b_100">
              <w:r>
                <w:rPr>
                  <w:rStyle w:val="InternetLink"/>
                  <w:rFonts w:ascii="Times New Roman;serif" w:hAnsi="Times New Roman;serif"/>
                  <w:b w:val="false"/>
                  <w:color w:val="0000FF"/>
                  <w:sz w:val="20"/>
                  <w:u w:val="single"/>
                </w:rPr>
                <w:t>Item 2. Unregistered Sales of Equity Securities and Use of Proceeds</w:t>
              </w:r>
            </w:hyperlink>
          </w:p>
        </w:tc>
        <w:tc>
          <w:tcPr>
            <w:tcW w:w="511"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right"/>
              <w:rPr/>
            </w:pPr>
            <w:hyperlink w:anchor="i2f68eae8f7454a24b011b075ff4ee51b_100">
              <w:r>
                <w:rPr>
                  <w:rStyle w:val="InternetLink"/>
                  <w:rFonts w:ascii="Times New Roman;serif" w:hAnsi="Times New Roman;serif"/>
                  <w:b w:val="false"/>
                  <w:strike w:val="false"/>
                  <w:dstrike w:val="false"/>
                  <w:color w:val="000000"/>
                  <w:sz w:val="20"/>
                  <w:u w:val="none"/>
                  <w:effect w:val="none"/>
                </w:rPr>
                <w:t>47</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f68eae8f7454a24b011b075ff4ee51b_103">
              <w:r>
                <w:rPr>
                  <w:rStyle w:val="InternetLink"/>
                  <w:rFonts w:ascii="Times New Roman;serif" w:hAnsi="Times New Roman;serif"/>
                  <w:b w:val="false"/>
                  <w:color w:val="0000FF"/>
                  <w:sz w:val="20"/>
                  <w:u w:val="single"/>
                </w:rPr>
                <w:t>Item 5. 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2f68eae8f7454a24b011b075ff4ee51b_103">
              <w:r>
                <w:rPr>
                  <w:rStyle w:val="InternetLink"/>
                  <w:rFonts w:ascii="Times New Roman;serif" w:hAnsi="Times New Roman;serif"/>
                  <w:b w:val="false"/>
                  <w:strike w:val="false"/>
                  <w:dstrike w:val="false"/>
                  <w:color w:val="000000"/>
                  <w:sz w:val="20"/>
                  <w:u w:val="none"/>
                  <w:effect w:val="none"/>
                </w:rPr>
                <w:t>47</w:t>
              </w:r>
            </w:hyperlink>
          </w:p>
        </w:tc>
      </w:tr>
      <w:tr>
        <w:trPr/>
        <w:tc>
          <w:tcPr>
            <w:tcW w:w="7979"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2f68eae8f7454a24b011b075ff4ee51b_106">
              <w:r>
                <w:rPr>
                  <w:rStyle w:val="InternetLink"/>
                  <w:rFonts w:ascii="Times New Roman;serif" w:hAnsi="Times New Roman;serif"/>
                  <w:b w:val="false"/>
                  <w:color w:val="0000FF"/>
                  <w:sz w:val="20"/>
                  <w:u w:val="single"/>
                </w:rPr>
                <w:t>Item 6. Exhibits</w:t>
              </w:r>
            </w:hyperlink>
          </w:p>
        </w:tc>
        <w:tc>
          <w:tcPr>
            <w:tcW w:w="511"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right"/>
              <w:rPr/>
            </w:pPr>
            <w:hyperlink w:anchor="i2f68eae8f7454a24b011b075ff4ee51b_106">
              <w:r>
                <w:rPr>
                  <w:rStyle w:val="InternetLink"/>
                  <w:rFonts w:ascii="Times New Roman;serif" w:hAnsi="Times New Roman;serif"/>
                  <w:b w:val="false"/>
                  <w:strike w:val="false"/>
                  <w:dstrike w:val="false"/>
                  <w:color w:val="000000"/>
                  <w:sz w:val="20"/>
                  <w:u w:val="none"/>
                  <w:effect w:val="none"/>
                </w:rPr>
                <w:t>48</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68eae8f7454a24b011b075ff4ee51b_109">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2f68eae8f7454a24b011b075ff4ee51b_109">
              <w:r>
                <w:rPr>
                  <w:rStyle w:val="InternetLink"/>
                  <w:rFonts w:ascii="Times New Roman;serif" w:hAnsi="Times New Roman;serif"/>
                  <w:b w:val="false"/>
                  <w:strike w:val="false"/>
                  <w:dstrike w:val="false"/>
                  <w:color w:val="000000"/>
                  <w:sz w:val="20"/>
                  <w:u w:val="none"/>
                  <w:effect w:val="none"/>
                </w:rPr>
                <w:t>49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CAUTIONARY STATEMENTS REGARDING FORWARD-LOOKING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SEC filings and public announcements may include forward-looking statements about future events. Generally, the words “believe,” “expect,” “intend,” “estimate,” “anticipate,” “project,” "will” and similar expressions identify forward-looking statements, which generally are not historical in nature. We intend for all forward-looking statements contained herein, in our press releases or on our website, and all subsequent written and oral forward-looking statements attributable to us or persons acting on our behalf, to be covered by the safe harbor provisions for forward-looking statements within the meaning of the Private Securities Litigation Reform Act of 1995 and the provisions of Section 27A of the Securities Act of 1933 and Section 21E of the Securities Exchange Act of 1934, as amended (the “Exchange Act”) (which Sections were adopted as part of the Private Securities Litigation Reform Act of 1995). Such statements are subject to a number of risks, uncertainties and assumptions including, without limitation:</w:t>
      </w:r>
    </w:p>
    <w:p>
      <w:pPr>
        <w:pStyle w:val="TextBody"/>
        <w:bidi w:val="0"/>
        <w:spacing w:lineRule="auto" w:line="288" w:before="240" w:after="283"/>
        <w:ind w:left="0" w:right="0" w:hanging="540"/>
        <w:jc w:val="left"/>
        <w:rPr/>
      </w:pPr>
      <w:r>
        <w:rPr>
          <w:color w:val="000000"/>
        </w:rPr>
        <w:t>•</w:t>
      </w:r>
      <w:r>
        <w:rPr>
          <w:rFonts w:ascii="Times New Roman;serif" w:hAnsi="Times New Roman;serif"/>
          <w:b w:val="false"/>
          <w:color w:val="000000"/>
          <w:sz w:val="20"/>
        </w:rPr>
        <w:t>changes in the trade policies of the United States and those of other nations, including risks of potential future changes or worsening trade tensions between the United States and other countries and the impact of uncertainties surrounding U.S. trade policy on consumer sentiment, inflation and financial markets;</w:t>
      </w:r>
    </w:p>
    <w:p>
      <w:pPr>
        <w:pStyle w:val="TextBody"/>
        <w:bidi w:val="0"/>
        <w:spacing w:lineRule="auto" w:line="276" w:before="0" w:after="0"/>
        <w:ind w:left="0" w:right="0" w:hanging="540"/>
        <w:jc w:val="left"/>
        <w:rPr/>
      </w:pPr>
      <w:r>
        <w:rPr>
          <w:color w:val="000000"/>
        </w:rPr>
        <w:t>•</w:t>
      </w:r>
      <w:r>
        <w:rPr>
          <w:rFonts w:ascii="Times New Roman;serif" w:hAnsi="Times New Roman;serif"/>
          <w:b w:val="false"/>
          <w:color w:val="000000"/>
          <w:sz w:val="20"/>
        </w:rPr>
        <w:t>our ability to mitigate current and potential future tariffs imposed and receive remaining tariff refunds;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demand for our products, which may be impacted by macroeconomic factors that may impact consumer discretionary spending and pricing levels for apparel and related products, many of which may be impacted by inflationary pressures, tariffs, interest rates, the stability of the banking industry or general economic uncertainty, and the effectiveness of measures to mitigate the impact of these factors;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risks relating to our product sourcing efforts, including our ability to identify alternative countries to source and produce our products and to successfully implement changes in our supply chain;</w:t>
      </w:r>
    </w:p>
    <w:p>
      <w:pPr>
        <w:pStyle w:val="TextBody"/>
        <w:bidi w:val="0"/>
        <w:spacing w:lineRule="auto" w:line="268" w:before="0" w:after="0"/>
        <w:ind w:left="0" w:right="0" w:hanging="540"/>
        <w:jc w:val="left"/>
        <w:rPr/>
      </w:pPr>
      <w:r>
        <w:rPr>
          <w:color w:val="000000"/>
        </w:rPr>
        <w:t>•</w:t>
      </w:r>
      <w:r>
        <w:rPr>
          <w:rFonts w:ascii="Times New Roman;serif" w:hAnsi="Times New Roman;serif"/>
          <w:b w:val="false"/>
          <w:color w:val="000000"/>
          <w:sz w:val="20"/>
        </w:rPr>
        <w:t>our ability to accurately forecast consumer demand and effectively manage inventory levels, including the risk of increased promotional activity and margin pressure or, conversely, lost sales as a result of inaccurate forecasts;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possible changes in governmental monetary and fiscal policies, including, but not limited to, Federal Reserve policies in connection with continued inflationary pressures or other factors;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competitive conditions and/or evolving consumer shopping patterns, particularly in a highly promotional retail environment, including those related to shifts in technology;</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global supply chain constraints that have affected, and could continue to affect, transit, and other costs, including those related to disruptions of land or sea transportation routes or distribution or shipping channels;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the impact of inflationary pressures on labor costs, including wages, healthcare and other benefit-related costs;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costs of products as well as the raw materials used in those products, as well as our ability to pass along price increases to consumers;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energy costs, including rising fuel prices and their impact on the costs of raw materials and our distribution and logistics operations;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our ability to respond to rapidly changing consumer expectations;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unseasonal or extreme weather conditions or natural disasters;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financial difficulties for our business partners, including suppliers, vendors, wholesale customers, licensees, logistics providers and landlords, that may impact their ability to meet their obligations to us and/or continue our business relationship to the same degree as they have historically;</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hiring of, retention of and disciplined execution by key management and other critical personnel, as well as the effective transition of executive level responsibilities;</w:t>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the execution of key strategic initiatives to drive operating performance across our enterprise;</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cybersecurity breaches and ransomware attacks, as well as our and our third party vendors’ ability to properly collect, use, manage and secure business, consumer and employee data and maintain continuity of our information technology systems;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inability or failure to successfully and effectively implement new information technology systems and supporting controls, including artificial intelligence-enabled tools, and risks associated with third-party service providers and interconnected systems;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the effectiveness of our advertising initiatives in defining, launching and communicating brand-relevant customer experiences;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the level of our indebtedness, including the risks associated with heightened interest rates on the debt and the potential impact on our ability to operate and expand our business;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the timing of shipments requested by our wholesale customers;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fluctuations and volatility in global financial and/or real estate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our ability to identify and secure suitable locations for new retail store and food and beverage openings, as well as to successfully negotiate acceptable terms for the early exit or restructuring of leases for underperforming locations;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the timing and cost of retail store and food and beverage location openings and remodels, technology implementations and other capital expenditures, including those related to enhancing artificial intelligence capabilities;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the timing, cost and successful implementation of changes to our distribution network, including the possibility that we may not realize the anticipated benefits of our new state-of-the-art distribution center in Lyons, Georgia;</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the effectiveness of recent, focused efforts to reassess and realign our operating costs in light of revenue trends, including potential disruptions to our operations as a result of these efforts;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expected outcomes of pending or potential litigation and regulatory actions;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consumer, employee and regulatory focus on sustainability issues and practices, including failures by our suppliers to adhere to our vendor code of conduct;</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the regulation or prohibition of goods sourced, or containing raw materials or components, from certain regions and our ability to evidence compliance;</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access to capital and/or credit markets;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factors that could affect our consolidated effective tax rate;</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the risk of impairment to goodwill and other intangible assets such as the impairment charges incurred in our Johnny Was and Jack Rogers reporting units during the Third Quarter of Fiscal 2025; and</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geopolitical risks, including the U.S.-Iran conflict as well as other hostilities in the Middle East, ongoing challenges between the United States and China and those related to the ongoing war in Ukraine.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Forward-looking statements reflect our expectations at the time such forward-looking statements are made, based on information available at such time, and are not guarantees of performance.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believe that the expectations reflected in such forward-looking statements are reasonable, these expectations could prove inaccurate as such statements involve risks and uncertainties, many of which are beyond our ability to control or predict. Should one or more of these risks or uncertainties, or other risks or uncertainties not currently known to us or that we currently deem to be immaterial, materialize, or should underlying assumptions prove incorrect, actual results may vary materially from those anticipated, estimated or projected. Important factors relating to these risks and uncertainties include, but are not limited to, those described in Part I, Item 1A. Risk Factors contained in our Fiscal 2025 Form 10-K, and those described from time to time in our future reports filed with the SEC. We caution that one should not place undue reliance on forward-looking statements, which speak only as of the date on which they are made. We disclaim any intention, obligation or duty to update or revise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DEFINITIONS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used in this report, unless the context requires otherwise, “our,” “us” or "we” means Oxford Industries, Inc. and its consolidated subsidiaries; “SG&amp;A” means selling, general and administrative expenses; “SEC” means the United States Securities and Exchange Commission; “FASB” means the Financial Accounting Standards Board; “ASC” means the FASB Accounting Standards Codification; “GAAP” means generally accepted accounting principles in the United States; “TBBC” means The Beaufort Bonnet Company; and “Fiscal 2025 Form 10-K” means our Annual Report on Form 10-K for Fiscal 2025. Additionally, the terms listed below reflect the respective period noted:</w:t>
      </w:r>
    </w:p>
    <w:tbl>
      <w:tblPr>
        <w:tblW w:w="5339" w:type="dxa"/>
        <w:jc w:val="center"/>
        <w:tblInd w:w="0" w:type="dxa"/>
        <w:tblLayout w:type="fixed"/>
        <w:tblCellMar>
          <w:top w:w="28" w:type="dxa"/>
          <w:left w:w="28" w:type="dxa"/>
          <w:bottom w:w="28" w:type="dxa"/>
          <w:right w:w="28" w:type="dxa"/>
        </w:tblCellMar>
      </w:tblPr>
      <w:tblGrid>
        <w:gridCol w:w="850"/>
        <w:gridCol w:w="748"/>
        <w:gridCol w:w="757"/>
        <w:gridCol w:w="870"/>
        <w:gridCol w:w="870"/>
        <w:gridCol w:w="1244"/>
      </w:tblGrid>
      <w:tr>
        <w:trPr/>
        <w:tc>
          <w:tcPr>
            <w:tcW w:w="85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52 weeks ending January 29, 2028</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2026</w:t>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52 weeks ending January 30, 2027</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2025</w:t>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52 weeks ended January 31, 2026</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2024</w:t>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52 weeks ended February 1, 2025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 Fiscal 2026</w:t>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13 weeks ending January 30, 2027</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Fiscal 2026</w:t>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13 weeks ending October 31, 2026</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Fiscal 2026</w:t>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13 weeks ended August 1, 2026</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 Fiscal 2026</w:t>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13 weeks ended May 2, 2026</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 Fiscal 2025</w:t>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13 weeks ended January 31, 2026</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Fiscal 2025</w:t>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13 weeks ended November 1, 2025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Fiscal 2025</w:t>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13 weeks ended August 2, 2025</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 Fiscal 2025</w:t>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13 weeks ended May 3, 2025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First Half Fiscal 2026</w:t>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26 weeks ended August 1, 2026</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First Half Fiscal 2025</w:t>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26 weeks ended August 2, 2025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Second Half Fiscal 2026</w:t>
            </w:r>
          </w:p>
        </w:tc>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26 weeks ending January 30, 2027</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Second Half Fiscal 2025</w:t>
            </w:r>
          </w:p>
        </w:tc>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26 weeks ended January 31,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u w:val="single"/>
        </w:rPr>
      </w:pPr>
      <w:r>
        <w:rPr>
          <w:rFonts w:ascii="Times New Roman;serif" w:hAnsi="Times New Roman;serif"/>
          <w:b/>
          <w:color w:val="000000"/>
          <w:sz w:val="20"/>
          <w:u w:val="single"/>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OXFORD INDUSTRIES,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amounts)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8891" w:type="dxa"/>
        <w:jc w:val="left"/>
        <w:tblInd w:w="0" w:type="dxa"/>
        <w:tblLayout w:type="fixed"/>
        <w:tblCellMar>
          <w:top w:w="28" w:type="dxa"/>
          <w:left w:w="28" w:type="dxa"/>
          <w:bottom w:w="28" w:type="dxa"/>
          <w:right w:w="28" w:type="dxa"/>
        </w:tblCellMar>
      </w:tblPr>
      <w:tblGrid>
        <w:gridCol w:w="1556"/>
        <w:gridCol w:w="1370"/>
        <w:gridCol w:w="1378"/>
        <w:gridCol w:w="211"/>
        <w:gridCol w:w="976"/>
        <w:gridCol w:w="109"/>
        <w:gridCol w:w="109"/>
        <w:gridCol w:w="109"/>
        <w:gridCol w:w="109"/>
        <w:gridCol w:w="211"/>
        <w:gridCol w:w="976"/>
        <w:gridCol w:w="109"/>
        <w:gridCol w:w="109"/>
        <w:gridCol w:w="109"/>
        <w:gridCol w:w="109"/>
        <w:gridCol w:w="211"/>
        <w:gridCol w:w="976"/>
        <w:gridCol w:w="154"/>
      </w:tblGrid>
      <w:tr>
        <w:trPr/>
        <w:tc>
          <w:tcPr>
            <w:tcW w:w="155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Tariff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281,606 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292,446 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294,049 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1,299,255 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1,308,958 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1,324,396 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29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239,732 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265,303 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248,238 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$1.00 par value per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564,476 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514,837 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597,113 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1,299,255 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1,308,958 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1,324,396 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OXFORD INDUSTRIES,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8955" w:type="dxa"/>
        <w:jc w:val="left"/>
        <w:tblInd w:w="0" w:type="dxa"/>
        <w:tblLayout w:type="fixed"/>
        <w:tblCellMar>
          <w:top w:w="28" w:type="dxa"/>
          <w:left w:w="28" w:type="dxa"/>
          <w:bottom w:w="28" w:type="dxa"/>
          <w:right w:w="28" w:type="dxa"/>
        </w:tblCellMar>
      </w:tblPr>
      <w:tblGrid>
        <w:gridCol w:w="1210"/>
        <w:gridCol w:w="1060"/>
        <w:gridCol w:w="107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394,376 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403,143 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785,778 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796,004 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291,129 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247,625 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535,012 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499,911 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33,578 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229,468 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225,581 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456,736 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448,289 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other 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12,903 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68,816 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25,411 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91,179 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61,617 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3,771 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Earnings before income taxes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67,327 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23,863 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87,408 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58,343 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23,453 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48,967 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16,692 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63,955 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42,873 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earnings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1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15,049</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2"/>
              <w:jc w:val="right"/>
              <w:rPr>
                <w:rFonts w:ascii="Times New Roman;serif" w:hAnsi="Times New Roman;serif"/>
                <w:b w:val="false"/>
                <w:color w:val="000000"/>
                <w:sz w:val="20"/>
              </w:rPr>
            </w:pPr>
            <w:r>
              <w:rPr>
                <w:rFonts w:ascii="Times New Roman;serif" w:hAnsi="Times New Roman;serif"/>
                <w:b w:val="false"/>
                <w:color w:val="000000"/>
                <w:sz w:val="20"/>
              </w:rPr>
              <w:t>15,042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15,175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Dividends declared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OXFORD INDUSTRIES,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8834" w:type="dxa"/>
        <w:jc w:val="left"/>
        <w:tblInd w:w="0" w:type="dxa"/>
        <w:tblLayout w:type="fixed"/>
        <w:tblCellMar>
          <w:top w:w="28" w:type="dxa"/>
          <w:left w:w="28" w:type="dxa"/>
          <w:bottom w:w="28" w:type="dxa"/>
          <w:right w:w="28" w:type="dxa"/>
        </w:tblCellMar>
      </w:tblPr>
      <w:tblGrid>
        <w:gridCol w:w="1319"/>
        <w:gridCol w:w="1157"/>
        <w:gridCol w:w="116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1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48,967 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16,692 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63,955 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42,873 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foreign currency translation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48,468 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16,781 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63,532 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43,532 </w:t>
            </w:r>
          </w:p>
        </w:tc>
        <w:tc>
          <w:tcPr>
            <w:tcW w:w="154"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OXFORD INDUSTRIES,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9241" w:type="dxa"/>
        <w:jc w:val="left"/>
        <w:tblInd w:w="0" w:type="dxa"/>
        <w:tblLayout w:type="fixed"/>
        <w:tblCellMar>
          <w:top w:w="28" w:type="dxa"/>
          <w:left w:w="28" w:type="dxa"/>
          <w:bottom w:w="28" w:type="dxa"/>
          <w:right w:w="28" w:type="dxa"/>
        </w:tblCellMar>
      </w:tblPr>
      <w:tblGrid>
        <w:gridCol w:w="2380"/>
        <w:gridCol w:w="2088"/>
        <w:gridCol w:w="2102"/>
        <w:gridCol w:w="211"/>
        <w:gridCol w:w="796"/>
        <w:gridCol w:w="109"/>
        <w:gridCol w:w="109"/>
        <w:gridCol w:w="109"/>
        <w:gridCol w:w="109"/>
        <w:gridCol w:w="211"/>
        <w:gridCol w:w="796"/>
        <w:gridCol w:w="221"/>
      </w:tblGrid>
      <w:tr>
        <w:trPr/>
        <w:tc>
          <w:tcPr>
            <w:tcW w:w="2380"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42,873 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to cash flows from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28,687 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4,862 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11,220 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 and dispositions: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(14,055)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balance sheet changes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(14,634)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provided by operating activities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97,300 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79,549 </w:t>
            </w:r>
          </w:p>
        </w:tc>
        <w:tc>
          <w:tcPr>
            <w:tcW w:w="2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(54,604)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used in investing activities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(31,470)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(54,645)</w:t>
            </w:r>
          </w:p>
        </w:tc>
        <w:tc>
          <w:tcPr>
            <w:tcW w:w="22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revolving credit arrangements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(232,208)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arrangements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282,479 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(55,202)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equity awards for employee tax withholding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(21,258)</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used in financing activities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(64,833)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(27,723)</w:t>
            </w:r>
          </w:p>
        </w:tc>
        <w:tc>
          <w:tcPr>
            <w:tcW w:w="2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(2,819)</w:t>
            </w:r>
          </w:p>
        </w:tc>
        <w:tc>
          <w:tcPr>
            <w:tcW w:w="22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translation on cash and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year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9,470 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end of period</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9,020 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6,877 </w:t>
            </w:r>
          </w:p>
        </w:tc>
        <w:tc>
          <w:tcPr>
            <w:tcW w:w="2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OXFORD INDUSTRIES,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08"/>
        <w:gridCol w:w="970"/>
        <w:gridCol w:w="983"/>
        <w:gridCol w:w="234"/>
        <w:gridCol w:w="803"/>
        <w:gridCol w:w="121"/>
        <w:gridCol w:w="109"/>
        <w:gridCol w:w="109"/>
        <w:gridCol w:w="109"/>
        <w:gridCol w:w="211"/>
        <w:gridCol w:w="826"/>
        <w:gridCol w:w="109"/>
        <w:gridCol w:w="109"/>
        <w:gridCol w:w="109"/>
        <w:gridCol w:w="109"/>
        <w:gridCol w:w="247"/>
        <w:gridCol w:w="970"/>
        <w:gridCol w:w="128"/>
        <w:gridCol w:w="109"/>
        <w:gridCol w:w="109"/>
        <w:gridCol w:w="109"/>
        <w:gridCol w:w="211"/>
        <w:gridCol w:w="671"/>
        <w:gridCol w:w="109"/>
        <w:gridCol w:w="109"/>
        <w:gridCol w:w="109"/>
        <w:gridCol w:w="109"/>
        <w:gridCol w:w="211"/>
        <w:gridCol w:w="826"/>
        <w:gridCol w:w="159"/>
      </w:tblGrid>
      <w:tr>
        <w:trPr/>
        <w:tc>
          <w:tcPr>
            <w:tcW w:w="110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4"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 Fiscal 2026</w:t>
            </w:r>
          </w:p>
        </w:tc>
      </w:tr>
      <w:tr>
        <w:trPr/>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APIC</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AOCI</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May 2, 2026</w:t>
            </w:r>
          </w:p>
        </w:tc>
        <w:tc>
          <w:tcPr>
            <w:tcW w:w="2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14,900 </w:t>
            </w:r>
          </w:p>
        </w:tc>
        <w:tc>
          <w:tcPr>
            <w:tcW w:w="1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209,841 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300,286 </w:t>
            </w:r>
          </w:p>
        </w:tc>
        <w:tc>
          <w:tcPr>
            <w:tcW w:w="12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523,390 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and other comprehensive income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48,967 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48,468 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equity plans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for equity awards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(10,924)</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(10,924)</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August 1, 2026</w:t>
            </w:r>
          </w:p>
        </w:tc>
        <w:tc>
          <w:tcPr>
            <w:tcW w:w="23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14,978 </w:t>
            </w:r>
          </w:p>
        </w:tc>
        <w:tc>
          <w:tcPr>
            <w:tcW w:w="1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213,305 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338,329 </w:t>
            </w:r>
          </w:p>
        </w:tc>
        <w:tc>
          <w:tcPr>
            <w:tcW w:w="12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(2,136)</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564,476 </w:t>
            </w:r>
          </w:p>
        </w:tc>
        <w:tc>
          <w:tcPr>
            <w:tcW w:w="15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08"/>
        <w:gridCol w:w="970"/>
        <w:gridCol w:w="983"/>
        <w:gridCol w:w="234"/>
        <w:gridCol w:w="803"/>
        <w:gridCol w:w="121"/>
        <w:gridCol w:w="109"/>
        <w:gridCol w:w="109"/>
        <w:gridCol w:w="109"/>
        <w:gridCol w:w="211"/>
        <w:gridCol w:w="826"/>
        <w:gridCol w:w="109"/>
        <w:gridCol w:w="109"/>
        <w:gridCol w:w="109"/>
        <w:gridCol w:w="109"/>
        <w:gridCol w:w="247"/>
        <w:gridCol w:w="970"/>
        <w:gridCol w:w="128"/>
        <w:gridCol w:w="109"/>
        <w:gridCol w:w="109"/>
        <w:gridCol w:w="109"/>
        <w:gridCol w:w="211"/>
        <w:gridCol w:w="671"/>
        <w:gridCol w:w="109"/>
        <w:gridCol w:w="109"/>
        <w:gridCol w:w="109"/>
        <w:gridCol w:w="109"/>
        <w:gridCol w:w="211"/>
        <w:gridCol w:w="826"/>
        <w:gridCol w:w="159"/>
      </w:tblGrid>
      <w:tr>
        <w:trPr/>
        <w:tc>
          <w:tcPr>
            <w:tcW w:w="110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4"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 Fiscal 2025</w:t>
            </w:r>
          </w:p>
        </w:tc>
      </w:tr>
      <w:tr>
        <w:trPr/>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APIC</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AOCI</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May 3, 2025</w:t>
            </w:r>
          </w:p>
        </w:tc>
        <w:tc>
          <w:tcPr>
            <w:tcW w:w="2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14,875 </w:t>
            </w:r>
          </w:p>
        </w:tc>
        <w:tc>
          <w:tcPr>
            <w:tcW w:w="1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194,893 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385,761 </w:t>
            </w:r>
          </w:p>
        </w:tc>
        <w:tc>
          <w:tcPr>
            <w:tcW w:w="12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592,423 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and other comprehensive income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16,692 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16,781 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equity plans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for equity awards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(6,927)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(10,313)</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August 2, 2025</w:t>
            </w:r>
          </w:p>
        </w:tc>
        <w:tc>
          <w:tcPr>
            <w:tcW w:w="23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14,867 </w:t>
            </w:r>
          </w:p>
        </w:tc>
        <w:tc>
          <w:tcPr>
            <w:tcW w:w="1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197,643 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387,620 </w:t>
            </w:r>
          </w:p>
        </w:tc>
        <w:tc>
          <w:tcPr>
            <w:tcW w:w="12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(3,017)</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597,113 </w:t>
            </w:r>
          </w:p>
        </w:tc>
        <w:tc>
          <w:tcPr>
            <w:tcW w:w="15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36"/>
        <w:gridCol w:w="998"/>
        <w:gridCol w:w="927"/>
        <w:gridCol w:w="234"/>
        <w:gridCol w:w="803"/>
        <w:gridCol w:w="121"/>
        <w:gridCol w:w="109"/>
        <w:gridCol w:w="109"/>
        <w:gridCol w:w="109"/>
        <w:gridCol w:w="211"/>
        <w:gridCol w:w="826"/>
        <w:gridCol w:w="109"/>
        <w:gridCol w:w="109"/>
        <w:gridCol w:w="109"/>
        <w:gridCol w:w="109"/>
        <w:gridCol w:w="247"/>
        <w:gridCol w:w="970"/>
        <w:gridCol w:w="128"/>
        <w:gridCol w:w="109"/>
        <w:gridCol w:w="109"/>
        <w:gridCol w:w="109"/>
        <w:gridCol w:w="211"/>
        <w:gridCol w:w="671"/>
        <w:gridCol w:w="109"/>
        <w:gridCol w:w="109"/>
        <w:gridCol w:w="109"/>
        <w:gridCol w:w="109"/>
        <w:gridCol w:w="211"/>
        <w:gridCol w:w="826"/>
        <w:gridCol w:w="159"/>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4"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 Fiscal 2026</w:t>
            </w:r>
          </w:p>
        </w:tc>
      </w:tr>
      <w:tr>
        <w:trPr/>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APIC</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AOCI</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January 31, 2026</w:t>
            </w:r>
          </w:p>
        </w:tc>
        <w:tc>
          <w:tcPr>
            <w:tcW w:w="2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14,887 </w:t>
            </w:r>
          </w:p>
        </w:tc>
        <w:tc>
          <w:tcPr>
            <w:tcW w:w="1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205,689 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295,974 </w:t>
            </w:r>
          </w:p>
        </w:tc>
        <w:tc>
          <w:tcPr>
            <w:tcW w:w="12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514,837 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and other comprehensive income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63,955 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63,532 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equity plans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for equity awards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7,797 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(21,600)</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(21,600)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August 1, 2026</w:t>
            </w:r>
          </w:p>
        </w:tc>
        <w:tc>
          <w:tcPr>
            <w:tcW w:w="23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14,978 </w:t>
            </w:r>
          </w:p>
        </w:tc>
        <w:tc>
          <w:tcPr>
            <w:tcW w:w="1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213,305 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338,329 </w:t>
            </w:r>
          </w:p>
        </w:tc>
        <w:tc>
          <w:tcPr>
            <w:tcW w:w="12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(2,136)</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564,476 </w:t>
            </w:r>
          </w:p>
        </w:tc>
        <w:tc>
          <w:tcPr>
            <w:tcW w:w="15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35"/>
        <w:gridCol w:w="989"/>
        <w:gridCol w:w="937"/>
        <w:gridCol w:w="234"/>
        <w:gridCol w:w="803"/>
        <w:gridCol w:w="121"/>
        <w:gridCol w:w="109"/>
        <w:gridCol w:w="109"/>
        <w:gridCol w:w="109"/>
        <w:gridCol w:w="211"/>
        <w:gridCol w:w="826"/>
        <w:gridCol w:w="109"/>
        <w:gridCol w:w="109"/>
        <w:gridCol w:w="109"/>
        <w:gridCol w:w="109"/>
        <w:gridCol w:w="247"/>
        <w:gridCol w:w="970"/>
        <w:gridCol w:w="128"/>
        <w:gridCol w:w="109"/>
        <w:gridCol w:w="109"/>
        <w:gridCol w:w="109"/>
        <w:gridCol w:w="211"/>
        <w:gridCol w:w="671"/>
        <w:gridCol w:w="109"/>
        <w:gridCol w:w="109"/>
        <w:gridCol w:w="109"/>
        <w:gridCol w:w="109"/>
        <w:gridCol w:w="211"/>
        <w:gridCol w:w="826"/>
        <w:gridCol w:w="159"/>
      </w:tblGrid>
      <w:tr>
        <w:trPr/>
        <w:tc>
          <w:tcPr>
            <w:tcW w:w="113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4"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 Fiscal 2025</w:t>
            </w:r>
          </w:p>
        </w:tc>
      </w:tr>
      <w:tr>
        <w:trPr/>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APIC</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AOCI</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February 1, 2025</w:t>
            </w:r>
          </w:p>
        </w:tc>
        <w:tc>
          <w:tcPr>
            <w:tcW w:w="2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15,707 </w:t>
            </w:r>
          </w:p>
        </w:tc>
        <w:tc>
          <w:tcPr>
            <w:tcW w:w="1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190,816 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419,713 </w:t>
            </w:r>
          </w:p>
        </w:tc>
        <w:tc>
          <w:tcPr>
            <w:tcW w:w="12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622,560 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and other comprehensive income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42,873 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43,532 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equity plans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for equity awards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(54,204)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(57,453)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(20,762)</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(20,762)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August 2, 2025</w:t>
            </w:r>
          </w:p>
        </w:tc>
        <w:tc>
          <w:tcPr>
            <w:tcW w:w="23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14,867 </w:t>
            </w:r>
          </w:p>
        </w:tc>
        <w:tc>
          <w:tcPr>
            <w:tcW w:w="1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197,643 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387,620 </w:t>
            </w:r>
          </w:p>
        </w:tc>
        <w:tc>
          <w:tcPr>
            <w:tcW w:w="12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(3,017)</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597,113 </w:t>
            </w:r>
          </w:p>
        </w:tc>
        <w:tc>
          <w:tcPr>
            <w:tcW w:w="15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OXFORD INDUSTRIES,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SECOND QUARTER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both"/>
        <w:rPr>
          <w:rFonts w:ascii="Times New Roman;serif" w:hAnsi="Times New Roman;serif"/>
          <w:b/>
          <w:color w:val="000000"/>
          <w:sz w:val="20"/>
        </w:rPr>
      </w:pPr>
      <w:r>
        <w:rPr>
          <w:rFonts w:ascii="Times New Roman;serif" w:hAnsi="Times New Roman;serif"/>
          <w:b/>
          <w:color w:val="000000"/>
          <w:sz w:val="20"/>
        </w:rPr>
        <w:t>Note 1.    Basis of Presentation: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GAAP for interim financial reporting and the instructions of Form 10-Q and Article 10 of Regulation S-X. Accordingly, they do not include all of the information and footnotes required by GAAP for complete financial statements. We believe the accompanying unaudited condensed consolidated financial statements reflect all normal, recurring adjustments that are necessary for a fair presentation of our financial position and results of operations as of the dates and for the periods presented. Results of operations for interim periods are not necessarily indicative of results to be expected for a full fiscal year due to the seasonality of our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our unaudited condensed consolidated financial statements in conformity with GAAP requires us to make certain estimates and assumptions that affect the amounts reported as assets, liabilities, revenues and expenses in the consolidated financial statements and accompanying notes. Actual results could differ from those estimates.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prior year amounts are reclassified to conform to the current year presentation. These reclassifications had no impact on our previously reported total assets, total liabilities, results of operations, comprehensive income or net cash flows from operating, financing or investing activities.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significant accounting policies applied during the interim periods presented are consistent with the significant accounting policies described in our Fiscal 2025 Form 10-K. These financial statements should be read in conjunction with the consolidated financial statements and notes thereto included in our Fiscal 2025 Form 10-K.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Recently Issued Accounting Standards Applicable to Future Years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to U.S. GAAP are established by the Financial Accounting Standards Board (“FASB”) in the form of Accounting Standards Updates (“ASUs”) to the FASB Accounting Standards Codification (“ASC”). We consider the applicability and impact of all ASUs and any not listed below were assessed and determined to not be applicable or are expected to have an immaterial impact on our Condensed Consolidated Financial Statements.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and in January 2025, the FASB issued ASU 2025-01, Clarifying the Effective Date. These updates expand the disclosure requirements about specific expense categories, primarily through disaggregated information on income statement line items. The amendments in this update are effective for fiscal years beginning after December 15, 2026, and for interim periods within fiscal years beginning after December 15, 2027. Early adoption and retrospective application are permitted. We are evaluating how the enhanced disclosure requirements of ASU 2024-03 will affect our presentation, and we will include the incremental disclosures upon the effective date.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The ASU is intended to improve and modernize the accounting for software costs to better align with the evolution of software development. The ASU is effective for fiscal years beginning after December 15, 2027, and interim reporting periods within fiscal years beginning after December 15, 2027. Early adoption is permitted as of the beginning of an annual reporting period. We are evaluating how the enhanced disclosure requirements of ASU 2025-06 will affect our presentation, and we will include the applicable disclosures upon the effective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both"/>
        <w:rPr/>
      </w:pPr>
      <w:r>
        <w:rPr>
          <w:rFonts w:ascii="Times New Roman;serif" w:hAnsi="Times New Roman;serif"/>
          <w:b/>
          <w:color w:val="000000"/>
          <w:sz w:val="20"/>
        </w:rPr>
        <w:t>Note 2.    Operating Segments:</w:t>
      </w:r>
      <w:r>
        <w:rPr>
          <w:color w:val="000000"/>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identify our operating segments based on the way the chief operating decision maker (“CODM”) organizes the components of our business for purposes of allocating resources and assessing performance. Our operating segment structure reflects a brand-focused management approach, emphasizing operational coordination and resource allocation across each brand’s direct to consumer, wholesale and licensing operations, as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Tommy Bahama, Lilly Pulitzer and Johnny Was operating segments are each identified as a reportable segment. The operations of our smaller, earlier stage operating segments Southern Tide, TBBC, Duck Head and Jack Rogers are aggregated into the Emerging Brands reportable segment.</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Corporate and Other is a reconciling category for reporting purposes and includes the elimination of inter-segment sales, which totaled less than $1 million in both the First Half of Fiscal 2026 and the First Half of Fiscal 2025. Corporate and Other also includes our corporate offices, substantially all financing activities, any other items that are not allocated to the operating segments, including LIFO inventory accounting adjustments as our LIFO pool does not correspond to our operating segment definitions and unallocated Corporate expenses, and our Lyons, Georgia distribution center operations.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Fourth Quarter of Fiscal 2025, we changed the measure we use to assess the profitability of our operating segments from segment operating income to segment earnings before interest, taxes, depreciation and amortization (“segment EBITDA”). Segment EBITDA also excludes certain infrequent operating charges, including impairments of goodwill, intangible assets and equity method investments. Our CODM uses segment EBITDA to assess operating segment performance and allocate resources. As a result of this change, prior periods have been recast to conform to the current period presentation. The change in segment profit measure did not affect the total consolidated profit or loss of the Company.</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segment EBITDA and our consolidated measures of EBITDA and Adjusted EBITDA provide useful supplemental information to management, analysts, investors and other interested parties in evaluating the profitability and operating performance of our business. We use EBITDA and Adjusted EBITDA, when applicable, to facilitate the evaluation of our consolidated results before the effects of certain expenses that directly arise from our capital investment decisions, financing decisions and tax strategies, including depreciation and amortization, interest expense and income taxes. Adjusted EBITDA excludes certain infrequent operating charges, if any, that we do not believe are reflective of our ongoing business performance, including impairments of goodwill, intangible assets and equity method investments.</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consolidated EBITDA, and Adjusted EBITDA when impairments of goodwill, intangible assets and equity method investments are incurred, to forecast our performance, evaluate actual results against our forecasts and compare our results to others in the industries we serve. These measures should not be considered in isolation from, or as a substitute for, financial measures prepared in accordance with GAAP. See the reconciliation below of EBITDA to net earnings, the most directly comparable GAAP financial measure.</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certain financial information (in thousands) about our reportable segments, as well as Corporate and Other.</w:t>
      </w:r>
    </w:p>
    <w:tbl>
      <w:tblPr>
        <w:tblW w:w="8729" w:type="dxa"/>
        <w:jc w:val="left"/>
        <w:tblInd w:w="0" w:type="dxa"/>
        <w:tblLayout w:type="fixed"/>
        <w:tblCellMar>
          <w:top w:w="28" w:type="dxa"/>
          <w:left w:w="28" w:type="dxa"/>
          <w:bottom w:w="28" w:type="dxa"/>
          <w:right w:w="28" w:type="dxa"/>
        </w:tblCellMar>
      </w:tblPr>
      <w:tblGrid>
        <w:gridCol w:w="1127"/>
        <w:gridCol w:w="994"/>
        <w:gridCol w:w="99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2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Tommy Bahama</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162,420 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138,951 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309,949 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278,676 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and distribution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Tommy Bahama Segment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91,394 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72,640 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Lilly Pulitzer</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121,768 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123,922 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and distribution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tbl>
      <w:tblPr>
        <w:tblW w:w="9060" w:type="dxa"/>
        <w:jc w:val="left"/>
        <w:tblInd w:w="0" w:type="dxa"/>
        <w:tblLayout w:type="fixed"/>
        <w:tblCellMar>
          <w:top w:w="28" w:type="dxa"/>
          <w:left w:w="28" w:type="dxa"/>
          <w:bottom w:w="28" w:type="dxa"/>
          <w:right w:w="28" w:type="dxa"/>
        </w:tblCellMar>
      </w:tblPr>
      <w:tblGrid>
        <w:gridCol w:w="1306"/>
        <w:gridCol w:w="1150"/>
        <w:gridCol w:w="1159"/>
        <w:gridCol w:w="211"/>
        <w:gridCol w:w="721"/>
        <w:gridCol w:w="109"/>
        <w:gridCol w:w="109"/>
        <w:gridCol w:w="109"/>
        <w:gridCol w:w="109"/>
        <w:gridCol w:w="211"/>
        <w:gridCol w:w="796"/>
        <w:gridCol w:w="109"/>
        <w:gridCol w:w="109"/>
        <w:gridCol w:w="109"/>
        <w:gridCol w:w="109"/>
        <w:gridCol w:w="211"/>
        <w:gridCol w:w="826"/>
        <w:gridCol w:w="109"/>
        <w:gridCol w:w="109"/>
        <w:gridCol w:w="109"/>
        <w:gridCol w:w="109"/>
        <w:gridCol w:w="211"/>
        <w:gridCol w:w="796"/>
        <w:gridCol w:w="154"/>
      </w:tblGrid>
      <w:tr>
        <w:trPr/>
        <w:tc>
          <w:tcPr>
            <w:tcW w:w="130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Lilly Pulitzer Segment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Johnny Was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60,974 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and distribution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Johnny Was Segment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Emerging Brands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and distribution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Emerging Brands Segment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Corporate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Cost of goods sold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Unallocated Corporate costs and income </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Corporate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(6,187)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(23,866)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86,014 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124,757 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For all reportable segments, other segment items primarily consist of software costs, professional services costs, other selling, general and administrative costs, royalties and other income and provisions for credit losses.</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Cost of goods sold for Corporate and Other included a LIFO accounting benefit of less than $1 million in the Second Quarter of Fiscal 2026 and a charge of $4 million in the First Half of Fiscal 2026. The Second Quarter of Fiscal 2025 and First Half of Fiscal 2025 included a LIFO accounting charge of $1 million. </w:t>
      </w:r>
    </w:p>
    <w:p>
      <w:pPr>
        <w:pStyle w:val="TextBody"/>
        <w:bidi w:val="0"/>
        <w:spacing w:lineRule="auto" w:line="288" w:before="0" w:after="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Unallocated Corporate costs and income for Corporate and Other primarily consist of unallocated employment and other overhead expenses and interest received on tariff receivables.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(in thousands) from EBITDA to consolidated operating income, earnings before income taxes and total net earnings:</w:t>
      </w:r>
    </w:p>
    <w:tbl>
      <w:tblPr>
        <w:tblW w:w="7920" w:type="dxa"/>
        <w:jc w:val="left"/>
        <w:tblInd w:w="0" w:type="dxa"/>
        <w:tblLayout w:type="fixed"/>
        <w:tblCellMar>
          <w:top w:w="28" w:type="dxa"/>
          <w:left w:w="28" w:type="dxa"/>
          <w:bottom w:w="28" w:type="dxa"/>
          <w:right w:w="28" w:type="dxa"/>
        </w:tblCellMar>
      </w:tblPr>
      <w:tblGrid>
        <w:gridCol w:w="948"/>
        <w:gridCol w:w="834"/>
        <w:gridCol w:w="84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94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86,014 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124,757 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91,179 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Earnings before income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tables below present certain financial information (in thousands) about our reportable segments, as well as Corporate and Other.</w:t>
      </w:r>
    </w:p>
    <w:tbl>
      <w:tblPr>
        <w:tblW w:w="7592" w:type="dxa"/>
        <w:jc w:val="left"/>
        <w:tblInd w:w="0" w:type="dxa"/>
        <w:tblLayout w:type="fixed"/>
        <w:tblCellMar>
          <w:top w:w="28" w:type="dxa"/>
          <w:left w:w="28" w:type="dxa"/>
          <w:bottom w:w="28" w:type="dxa"/>
          <w:right w:w="28" w:type="dxa"/>
        </w:tblCellMar>
      </w:tblPr>
      <w:tblGrid>
        <w:gridCol w:w="989"/>
        <w:gridCol w:w="869"/>
        <w:gridCol w:w="871"/>
        <w:gridCol w:w="211"/>
        <w:gridCol w:w="721"/>
        <w:gridCol w:w="109"/>
        <w:gridCol w:w="109"/>
        <w:gridCol w:w="109"/>
        <w:gridCol w:w="109"/>
        <w:gridCol w:w="211"/>
        <w:gridCol w:w="721"/>
        <w:gridCol w:w="109"/>
        <w:gridCol w:w="211"/>
        <w:gridCol w:w="721"/>
        <w:gridCol w:w="109"/>
        <w:gridCol w:w="109"/>
        <w:gridCol w:w="109"/>
        <w:gridCol w:w="109"/>
        <w:gridCol w:w="211"/>
        <w:gridCol w:w="721"/>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Tommy Bahama</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Lilly Pulitzer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Johnny Was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Brands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33,549 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783" w:type="dxa"/>
        <w:jc w:val="left"/>
        <w:tblInd w:w="0" w:type="dxa"/>
        <w:tblLayout w:type="fixed"/>
        <w:tblCellMar>
          <w:top w:w="28" w:type="dxa"/>
          <w:left w:w="28" w:type="dxa"/>
          <w:bottom w:w="28" w:type="dxa"/>
          <w:right w:w="28" w:type="dxa"/>
        </w:tblCellMar>
      </w:tblPr>
      <w:tblGrid>
        <w:gridCol w:w="1207"/>
        <w:gridCol w:w="1058"/>
        <w:gridCol w:w="1064"/>
        <w:gridCol w:w="211"/>
        <w:gridCol w:w="721"/>
        <w:gridCol w:w="109"/>
        <w:gridCol w:w="109"/>
        <w:gridCol w:w="109"/>
        <w:gridCol w:w="109"/>
        <w:gridCol w:w="211"/>
        <w:gridCol w:w="721"/>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Purchases of Property and Equipment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Tommy Bahama</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Lilly Pulitzer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Johnny Was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Brands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Purchases of Property and Equipment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54,604 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tbl>
      <w:tblPr>
        <w:tblW w:w="7613" w:type="dxa"/>
        <w:jc w:val="left"/>
        <w:tblInd w:w="0" w:type="dxa"/>
        <w:tblLayout w:type="fixed"/>
        <w:tblCellMar>
          <w:top w:w="28" w:type="dxa"/>
          <w:left w:w="28" w:type="dxa"/>
          <w:bottom w:w="28" w:type="dxa"/>
          <w:right w:w="28" w:type="dxa"/>
        </w:tblCellMar>
      </w:tblPr>
      <w:tblGrid>
        <w:gridCol w:w="828"/>
        <w:gridCol w:w="729"/>
        <w:gridCol w:w="737"/>
        <w:gridCol w:w="588"/>
        <w:gridCol w:w="462"/>
        <w:gridCol w:w="469"/>
        <w:gridCol w:w="109"/>
        <w:gridCol w:w="109"/>
        <w:gridCol w:w="109"/>
        <w:gridCol w:w="685"/>
        <w:gridCol w:w="463"/>
        <w:gridCol w:w="468"/>
        <w:gridCol w:w="109"/>
        <w:gridCol w:w="109"/>
        <w:gridCol w:w="109"/>
        <w:gridCol w:w="554"/>
        <w:gridCol w:w="404"/>
        <w:gridCol w:w="572"/>
      </w:tblGrid>
      <w:tr>
        <w:trPr/>
        <w:tc>
          <w:tcPr>
            <w:tcW w:w="8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August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August 2, 2025</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1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Tommy Bahama </w:t>
            </w:r>
            <w:r>
              <w:rPr>
                <w:rFonts w:ascii="Times New Roman;serif" w:hAnsi="Times New Roman;serif"/>
                <w:b w:val="false"/>
                <w:color w:val="000000"/>
                <w:sz w:val="13"/>
              </w:rPr>
              <w:t>(1)</w:t>
            </w:r>
          </w:p>
        </w:tc>
        <w:tc>
          <w:tcPr>
            <w:tcW w:w="58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695,493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693,069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676,133</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shd w:fill="CCEEFF" w:val="clear"/>
              </w:rPr>
              <w:t xml:space="preserve">Lilly Pulitzer </w:t>
            </w:r>
            <w:r>
              <w:rPr>
                <w:rFonts w:ascii="Times New Roman;serif" w:hAnsi="Times New Roman;serif"/>
                <w:b w:val="false"/>
                <w:color w:val="000000"/>
                <w:sz w:val="13"/>
                <w:shd w:fill="CCEEFF" w:val="clear"/>
              </w:rPr>
              <w:t>(2)</w:t>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205,203</w:t>
            </w:r>
          </w:p>
        </w:tc>
      </w:tr>
      <w:tr>
        <w:trPr/>
        <w:tc>
          <w:tcPr>
            <w:tcW w:w="229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Johnny Was </w:t>
            </w:r>
            <w:r>
              <w:rPr>
                <w:rFonts w:ascii="Times New Roman;serif" w:hAnsi="Times New Roman;serif"/>
                <w:b w:val="false"/>
                <w:color w:val="000000"/>
                <w:sz w:val="13"/>
              </w:rPr>
              <w:t>(3)</w:t>
            </w:r>
          </w:p>
        </w:tc>
        <w:tc>
          <w:tcPr>
            <w:tcW w:w="151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150,790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161,255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222,600</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shd w:fill="CCEEFF" w:val="clear"/>
              </w:rPr>
              <w:t xml:space="preserve">Emerging Brands </w:t>
            </w:r>
            <w:r>
              <w:rPr>
                <w:rFonts w:ascii="Times New Roman;serif" w:hAnsi="Times New Roman;serif"/>
                <w:b w:val="false"/>
                <w:color w:val="000000"/>
                <w:sz w:val="13"/>
                <w:shd w:fill="CCEEFF" w:val="clear"/>
              </w:rPr>
              <w:t>(4)</w:t>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131,469</w:t>
            </w:r>
          </w:p>
        </w:tc>
      </w:tr>
      <w:tr>
        <w:trPr/>
        <w:tc>
          <w:tcPr>
            <w:tcW w:w="229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Corporate and Other </w:t>
            </w:r>
            <w:r>
              <w:rPr>
                <w:rFonts w:ascii="Times New Roman;serif" w:hAnsi="Times New Roman;serif"/>
                <w:b w:val="false"/>
                <w:color w:val="000000"/>
                <w:sz w:val="13"/>
              </w:rPr>
              <w:t>(5)</w:t>
            </w:r>
          </w:p>
        </w:tc>
        <w:tc>
          <w:tcPr>
            <w:tcW w:w="151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117,758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88,991</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Total Assets</w:t>
            </w:r>
          </w:p>
        </w:tc>
        <w:tc>
          <w:tcPr>
            <w:tcW w:w="58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1,324,396</w:t>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Increase in Tommy Bahama total assets from August 2, 2025, relates primarily to an increase in tariff receivables and property and equipment.</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Increase in Lilly Pulitzer total assets from August 2, 2025, relates primarily to an increase in operating lease assets partially offset by a decrease in property and equipment and receivables.</w:t>
      </w:r>
    </w:p>
    <w:p>
      <w:pPr>
        <w:pStyle w:val="TextBody"/>
        <w:bidi w:val="0"/>
        <w:spacing w:lineRule="auto" w:line="288" w:before="0" w:after="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Decrease in Johnny Was total assets from August 2, 2025, relates primarily to the $57 million Third Quarter of Fiscal 2025 impairment charge for intangible assets and the amortization of acquired intangible assets. In addition, operating lease assets and property and equipment decreased primarily due to store closures.</w:t>
      </w:r>
    </w:p>
    <w:p>
      <w:pPr>
        <w:pStyle w:val="TextBody"/>
        <w:bidi w:val="0"/>
        <w:spacing w:lineRule="auto" w:line="288" w:before="0" w:after="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Decrease in Emerging Brands total assets from August 2, 2025, relates primarily to a decrease in operating lease assets and property and equipment due to store closures, a decrease in inventories and a $4 million Third Quarter of Fiscal 2025 impairment charge for goodwill and intangible assets related to Jack Rogers.</w:t>
      </w:r>
    </w:p>
    <w:p>
      <w:pPr>
        <w:pStyle w:val="TextBody"/>
        <w:bidi w:val="0"/>
        <w:spacing w:lineRule="auto" w:line="288" w:before="0" w:after="240"/>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Increase in Corporate and Other total assets from August 2, 2025, relates primarily to an increase in property and equipment related to the new distribution center project in Lyons, Georgia.</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sales by geographic area are presented in the table below (in thousands). The other foreign amounts primarily relate to our Tommy Bahama operations in Canada and Australia.</w:t>
      </w:r>
    </w:p>
    <w:tbl>
      <w:tblPr>
        <w:tblW w:w="6810" w:type="dxa"/>
        <w:jc w:val="left"/>
        <w:tblInd w:w="0" w:type="dxa"/>
        <w:tblLayout w:type="fixed"/>
        <w:tblCellMar>
          <w:top w:w="28" w:type="dxa"/>
          <w:left w:w="28" w:type="dxa"/>
          <w:bottom w:w="28" w:type="dxa"/>
          <w:right w:w="28" w:type="dxa"/>
        </w:tblCellMar>
      </w:tblPr>
      <w:tblGrid>
        <w:gridCol w:w="434"/>
        <w:gridCol w:w="382"/>
        <w:gridCol w:w="38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12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768,065 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779,342 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394,376 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403,143 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785,778 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796,004 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tables below quantify net sales, for each reportable segment, as well as Corporate and Other, and in total (in thousands), and the percentage of net sales by distribution channel for each reportable segment, as well as Corporate and Other, and in total, for each period presented. We have calculated all percentages below based on actual data, and percentages may not add to 100 due to rounding.</w:t>
      </w:r>
    </w:p>
    <w:tbl>
      <w:tblPr>
        <w:tblW w:w="9313" w:type="dxa"/>
        <w:jc w:val="left"/>
        <w:tblInd w:w="0" w:type="dxa"/>
        <w:tblLayout w:type="fixed"/>
        <w:tblCellMar>
          <w:top w:w="28" w:type="dxa"/>
          <w:left w:w="28" w:type="dxa"/>
          <w:bottom w:w="28" w:type="dxa"/>
          <w:right w:w="28" w:type="dxa"/>
        </w:tblCellMar>
      </w:tblPr>
      <w:tblGrid>
        <w:gridCol w:w="641"/>
        <w:gridCol w:w="562"/>
        <w:gridCol w:w="567"/>
        <w:gridCol w:w="376"/>
        <w:gridCol w:w="388"/>
        <w:gridCol w:w="393"/>
        <w:gridCol w:w="109"/>
        <w:gridCol w:w="109"/>
        <w:gridCol w:w="109"/>
        <w:gridCol w:w="194"/>
        <w:gridCol w:w="194"/>
        <w:gridCol w:w="196"/>
        <w:gridCol w:w="109"/>
        <w:gridCol w:w="109"/>
        <w:gridCol w:w="109"/>
        <w:gridCol w:w="349"/>
        <w:gridCol w:w="349"/>
        <w:gridCol w:w="351"/>
        <w:gridCol w:w="109"/>
        <w:gridCol w:w="109"/>
        <w:gridCol w:w="109"/>
        <w:gridCol w:w="519"/>
        <w:gridCol w:w="519"/>
        <w:gridCol w:w="521"/>
        <w:gridCol w:w="109"/>
        <w:gridCol w:w="109"/>
        <w:gridCol w:w="109"/>
        <w:gridCol w:w="294"/>
        <w:gridCol w:w="294"/>
        <w:gridCol w:w="296"/>
        <w:gridCol w:w="109"/>
        <w:gridCol w:w="109"/>
        <w:gridCol w:w="109"/>
        <w:gridCol w:w="197"/>
        <w:gridCol w:w="197"/>
        <w:gridCol w:w="281"/>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3"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 Fiscal 2026</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Retail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E-commerce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Food and Beverage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Wholesale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Tommy Bahama</w:t>
            </w:r>
          </w:p>
        </w:tc>
        <w:tc>
          <w:tcPr>
            <w:tcW w:w="3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Lilly Pulitzer</w:t>
            </w:r>
          </w:p>
        </w:tc>
        <w:tc>
          <w:tcPr>
            <w:tcW w:w="115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Johnny Was</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Brands</w:t>
            </w:r>
          </w:p>
        </w:tc>
        <w:tc>
          <w:tcPr>
            <w:tcW w:w="115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 %</w:t>
            </w:r>
          </w:p>
        </w:tc>
      </w:tr>
      <w:tr>
        <w:trPr/>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394,376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tbl>
      <w:tblPr>
        <w:tblW w:w="9313" w:type="dxa"/>
        <w:jc w:val="left"/>
        <w:tblInd w:w="0" w:type="dxa"/>
        <w:tblLayout w:type="fixed"/>
        <w:tblCellMar>
          <w:top w:w="28" w:type="dxa"/>
          <w:left w:w="28" w:type="dxa"/>
          <w:bottom w:w="28" w:type="dxa"/>
          <w:right w:w="28" w:type="dxa"/>
        </w:tblCellMar>
      </w:tblPr>
      <w:tblGrid>
        <w:gridCol w:w="641"/>
        <w:gridCol w:w="562"/>
        <w:gridCol w:w="567"/>
        <w:gridCol w:w="376"/>
        <w:gridCol w:w="388"/>
        <w:gridCol w:w="393"/>
        <w:gridCol w:w="109"/>
        <w:gridCol w:w="109"/>
        <w:gridCol w:w="109"/>
        <w:gridCol w:w="194"/>
        <w:gridCol w:w="194"/>
        <w:gridCol w:w="196"/>
        <w:gridCol w:w="109"/>
        <w:gridCol w:w="109"/>
        <w:gridCol w:w="109"/>
        <w:gridCol w:w="349"/>
        <w:gridCol w:w="349"/>
        <w:gridCol w:w="351"/>
        <w:gridCol w:w="109"/>
        <w:gridCol w:w="109"/>
        <w:gridCol w:w="109"/>
        <w:gridCol w:w="519"/>
        <w:gridCol w:w="519"/>
        <w:gridCol w:w="521"/>
        <w:gridCol w:w="109"/>
        <w:gridCol w:w="109"/>
        <w:gridCol w:w="109"/>
        <w:gridCol w:w="294"/>
        <w:gridCol w:w="294"/>
        <w:gridCol w:w="296"/>
        <w:gridCol w:w="109"/>
        <w:gridCol w:w="109"/>
        <w:gridCol w:w="109"/>
        <w:gridCol w:w="197"/>
        <w:gridCol w:w="197"/>
        <w:gridCol w:w="281"/>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3"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 Fiscal 2025</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Retail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E-commerce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Food and Beverage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Wholesale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Tommy Bahama</w:t>
            </w:r>
          </w:p>
        </w:tc>
        <w:tc>
          <w:tcPr>
            <w:tcW w:w="3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Lilly Pulitzer</w:t>
            </w:r>
          </w:p>
        </w:tc>
        <w:tc>
          <w:tcPr>
            <w:tcW w:w="115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90,268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Johnny Was</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Brands</w:t>
            </w:r>
          </w:p>
        </w:tc>
        <w:tc>
          <w:tcPr>
            <w:tcW w:w="115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 %</w:t>
            </w:r>
          </w:p>
        </w:tc>
      </w:tr>
      <w:tr>
        <w:trPr/>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403,143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bl>
    <w:tbl>
      <w:tblPr>
        <w:tblW w:w="9139" w:type="dxa"/>
        <w:jc w:val="left"/>
        <w:tblInd w:w="0" w:type="dxa"/>
        <w:tblLayout w:type="fixed"/>
        <w:tblCellMar>
          <w:top w:w="28" w:type="dxa"/>
          <w:left w:w="28" w:type="dxa"/>
          <w:bottom w:w="28" w:type="dxa"/>
          <w:right w:w="28" w:type="dxa"/>
        </w:tblCellMar>
      </w:tblPr>
      <w:tblGrid>
        <w:gridCol w:w="641"/>
        <w:gridCol w:w="562"/>
        <w:gridCol w:w="567"/>
        <w:gridCol w:w="376"/>
        <w:gridCol w:w="388"/>
        <w:gridCol w:w="393"/>
        <w:gridCol w:w="109"/>
        <w:gridCol w:w="109"/>
        <w:gridCol w:w="109"/>
        <w:gridCol w:w="180"/>
        <w:gridCol w:w="180"/>
        <w:gridCol w:w="181"/>
        <w:gridCol w:w="109"/>
        <w:gridCol w:w="109"/>
        <w:gridCol w:w="109"/>
        <w:gridCol w:w="335"/>
        <w:gridCol w:w="335"/>
        <w:gridCol w:w="336"/>
        <w:gridCol w:w="109"/>
        <w:gridCol w:w="109"/>
        <w:gridCol w:w="109"/>
        <w:gridCol w:w="504"/>
        <w:gridCol w:w="504"/>
        <w:gridCol w:w="506"/>
        <w:gridCol w:w="109"/>
        <w:gridCol w:w="109"/>
        <w:gridCol w:w="109"/>
        <w:gridCol w:w="280"/>
        <w:gridCol w:w="280"/>
        <w:gridCol w:w="281"/>
        <w:gridCol w:w="109"/>
        <w:gridCol w:w="109"/>
        <w:gridCol w:w="109"/>
        <w:gridCol w:w="197"/>
        <w:gridCol w:w="197"/>
        <w:gridCol w:w="281"/>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9"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 Fiscal 2026</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E-commerce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Food and Beverage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Wholesale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Tommy Bahama</w:t>
            </w:r>
          </w:p>
        </w:tc>
        <w:tc>
          <w:tcPr>
            <w:tcW w:w="3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Lilly Pulitzer</w:t>
            </w:r>
          </w:p>
        </w:tc>
        <w:tc>
          <w:tcPr>
            <w:tcW w:w="115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175,567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Johnny Was</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Brands</w:t>
            </w:r>
          </w:p>
        </w:tc>
        <w:tc>
          <w:tcPr>
            <w:tcW w:w="115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 %</w:t>
            </w:r>
          </w:p>
        </w:tc>
      </w:tr>
      <w:tr>
        <w:trPr/>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7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785,778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bl>
    <w:tbl>
      <w:tblPr>
        <w:tblW w:w="9139" w:type="dxa"/>
        <w:jc w:val="left"/>
        <w:tblInd w:w="0" w:type="dxa"/>
        <w:tblLayout w:type="fixed"/>
        <w:tblCellMar>
          <w:top w:w="28" w:type="dxa"/>
          <w:left w:w="28" w:type="dxa"/>
          <w:bottom w:w="28" w:type="dxa"/>
          <w:right w:w="28" w:type="dxa"/>
        </w:tblCellMar>
      </w:tblPr>
      <w:tblGrid>
        <w:gridCol w:w="641"/>
        <w:gridCol w:w="562"/>
        <w:gridCol w:w="567"/>
        <w:gridCol w:w="376"/>
        <w:gridCol w:w="388"/>
        <w:gridCol w:w="393"/>
        <w:gridCol w:w="109"/>
        <w:gridCol w:w="109"/>
        <w:gridCol w:w="109"/>
        <w:gridCol w:w="180"/>
        <w:gridCol w:w="180"/>
        <w:gridCol w:w="181"/>
        <w:gridCol w:w="109"/>
        <w:gridCol w:w="109"/>
        <w:gridCol w:w="109"/>
        <w:gridCol w:w="335"/>
        <w:gridCol w:w="335"/>
        <w:gridCol w:w="336"/>
        <w:gridCol w:w="109"/>
        <w:gridCol w:w="109"/>
        <w:gridCol w:w="109"/>
        <w:gridCol w:w="504"/>
        <w:gridCol w:w="504"/>
        <w:gridCol w:w="506"/>
        <w:gridCol w:w="109"/>
        <w:gridCol w:w="109"/>
        <w:gridCol w:w="109"/>
        <w:gridCol w:w="280"/>
        <w:gridCol w:w="280"/>
        <w:gridCol w:w="281"/>
        <w:gridCol w:w="109"/>
        <w:gridCol w:w="109"/>
        <w:gridCol w:w="109"/>
        <w:gridCol w:w="197"/>
        <w:gridCol w:w="197"/>
        <w:gridCol w:w="281"/>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9"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 Fiscal 2025</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E-commerce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Food and Beverage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Wholesale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Other</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Tommy Bahama</w:t>
            </w:r>
          </w:p>
        </w:tc>
        <w:tc>
          <w:tcPr>
            <w:tcW w:w="3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Lilly Pulitzer</w:t>
            </w:r>
          </w:p>
        </w:tc>
        <w:tc>
          <w:tcPr>
            <w:tcW w:w="115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Johnny Was</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Brands</w:t>
            </w:r>
          </w:p>
        </w:tc>
        <w:tc>
          <w:tcPr>
            <w:tcW w:w="115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 %</w:t>
            </w:r>
          </w:p>
        </w:tc>
      </w:tr>
      <w:tr>
        <w:trPr/>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7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both"/>
        <w:rPr/>
      </w:pPr>
      <w:r>
        <w:rPr>
          <w:rFonts w:ascii="Times New Roman;serif" w:hAnsi="Times New Roman;serif"/>
          <w:b/>
          <w:color w:val="000000"/>
          <w:sz w:val="20"/>
        </w:rPr>
        <w:t>Note 3.    Revenue Recognition and Receivables:</w:t>
      </w:r>
      <w:r>
        <w:rPr>
          <w:color w:val="000000"/>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revenue consists of direct to consumer sales, including our retail store, e-commerce and food and beverage operations, and wholesale sales, as well as royalty income, which is included in royalties and other operating income in our consolidated statements of operations. We recognize revenue when performance obligations under the terms of the contracts with our customers are satisfied. Our accounting policies related to revenue recognition for each type of contract with customers are described in the significant accounting policies in our Fiscal 2025 Form 10-K.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quantifies net sales by distribution channel (in thousands) for each period presented.</w:t>
      </w:r>
    </w:p>
    <w:tbl>
      <w:tblPr>
        <w:tblW w:w="7305" w:type="dxa"/>
        <w:jc w:val="left"/>
        <w:tblInd w:w="0" w:type="dxa"/>
        <w:tblLayout w:type="fixed"/>
        <w:tblCellMar>
          <w:top w:w="28" w:type="dxa"/>
          <w:left w:w="28" w:type="dxa"/>
          <w:bottom w:w="28" w:type="dxa"/>
          <w:right w:w="28" w:type="dxa"/>
        </w:tblCellMar>
      </w:tblPr>
      <w:tblGrid>
        <w:gridCol w:w="613"/>
        <w:gridCol w:w="539"/>
        <w:gridCol w:w="54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159,495 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162,950 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313,605 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316,759 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E-commerce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150,207 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149,653 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261,706 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263,296 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140,269 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153,225 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394,376 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403,143 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785,778 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796,004 </w:t>
            </w:r>
          </w:p>
        </w:tc>
        <w:tc>
          <w:tcPr>
            <w:tcW w:w="154"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 estimated sales return liability of $8 million, $9 million and $10 million for expected direct to consumer returns is classified in accrued expenses and other liabilities in our consolidated balance sheets as of August 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January 31, 2026, and August 2, 2025, respectively. As of August 1, 2026, January 31, 2026, and August 2, 2025, prepaid expenses and other current assets included $3 million, $3 million and $3 million, respectively, relating to the estimated value of inventory for expected direct to consumer and wholesale sales returns.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Substantially all amounts recognized in receivables, net represent trade receivables related to contracts with customers. In the ordinary course of our wholesale operations, we offer discounts, allowances and cooperative advertising support to and accept returns from certain of our wholesale customers for certain products. As of August 1, 2026, January 31, 2026, and August 2, 2025, reserve balances recorded as a reduction to receivables related to these items were $2 million, $3 million and $3 million, respectively. As of August 1, 2026, January 31, 2026, and August 2, 2025, our provision for credit losses related to receivables included in our consolidated balance sheets was $1 million, $4 million and $1 million, respectively.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Contract liabilities for gift cards purchased by consumers and merchandise credits received by customers but not yet redeemed, less any breakage income recognized to date, is included in accrued expenses and other liabilities in our consolidated balance sheets and totaled $21 million, $23 million and $21 million as of August 1, 2026, January 31, 2026, and August 2,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both"/>
        <w:rPr/>
      </w:pPr>
      <w:r>
        <w:rPr>
          <w:rFonts w:ascii="Times New Roman;serif" w:hAnsi="Times New Roman;serif"/>
          <w:b/>
          <w:color w:val="000000"/>
          <w:sz w:val="20"/>
        </w:rPr>
        <w:t>Note 4.    Leases:</w:t>
      </w:r>
      <w:r>
        <w:rPr>
          <w:color w:val="000000"/>
        </w:rPr>
        <w:t xml:space="preserve"> </w:t>
      </w:r>
    </w:p>
    <w:p>
      <w:pPr>
        <w:pStyle w:val="TextBody"/>
        <w:bidi w:val="0"/>
        <w:spacing w:lineRule="auto" w:line="288" w:before="240" w:after="240"/>
        <w:ind w:left="0" w:right="0" w:firstLine="720"/>
        <w:jc w:val="both"/>
        <w:rPr/>
      </w:pPr>
      <w:r>
        <w:rPr>
          <w:rFonts w:ascii="Times New Roman;serif" w:hAnsi="Times New Roman;serif"/>
          <w:b w:val="false"/>
          <w:color w:val="000000"/>
          <w:sz w:val="20"/>
        </w:rPr>
        <w:t xml:space="preserve">For the Second Quarter of Fiscal 2026, operating lease expense was $23 million and variable lease expense was $11 million, resulting in total lease expense of $34 million. In the Second Quarter of Fiscal 2025, operating lease expense was $22 million and variable lease expense was $11 million, resulting in total lease expense of $33 million.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First Half of Fiscal 2026</w:t>
      </w:r>
      <w:r>
        <w:rPr>
          <w:rFonts w:ascii="Times New Roman;serif" w:hAnsi="Times New Roman;serif"/>
          <w:b w:val="false"/>
          <w:color w:val="000000"/>
          <w:sz w:val="20"/>
          <w:shd w:fill="FFFFFF" w:val="clear"/>
        </w:rPr>
        <w:t xml:space="preserve">, operating lease expense was </w:t>
      </w:r>
      <w:r>
        <w:rPr>
          <w:rFonts w:ascii="Times New Roman;serif" w:hAnsi="Times New Roman;serif"/>
          <w:b w:val="false"/>
          <w:color w:val="000000"/>
          <w:sz w:val="20"/>
        </w:rPr>
        <w:t>$45 million</w:t>
      </w:r>
      <w:r>
        <w:rPr>
          <w:color w:val="000000"/>
          <w:shd w:fill="FFFFFF" w:val="clear"/>
        </w:rPr>
        <w:t xml:space="preserve"> </w:t>
      </w:r>
      <w:r>
        <w:rPr>
          <w:rFonts w:ascii="Times New Roman;serif" w:hAnsi="Times New Roman;serif"/>
          <w:b w:val="false"/>
          <w:color w:val="000000"/>
          <w:sz w:val="20"/>
          <w:shd w:fill="FFFFFF" w:val="clear"/>
        </w:rPr>
        <w:t xml:space="preserve">and variable lease expense was </w:t>
      </w:r>
      <w:r>
        <w:rPr>
          <w:rFonts w:ascii="Times New Roman;serif" w:hAnsi="Times New Roman;serif"/>
          <w:b w:val="false"/>
          <w:color w:val="000000"/>
          <w:sz w:val="20"/>
        </w:rPr>
        <w:t>$25 million</w:t>
      </w:r>
      <w:r>
        <w:rPr>
          <w:rFonts w:ascii="Times New Roman;serif" w:hAnsi="Times New Roman;serif"/>
          <w:b w:val="false"/>
          <w:color w:val="000000"/>
          <w:sz w:val="20"/>
          <w:shd w:fill="FFFFFF" w:val="clear"/>
        </w:rPr>
        <w:t xml:space="preserve">, resulting in total lease expense of </w:t>
      </w:r>
      <w:r>
        <w:rPr>
          <w:rFonts w:ascii="Times New Roman;serif" w:hAnsi="Times New Roman;serif"/>
          <w:b w:val="false"/>
          <w:color w:val="000000"/>
          <w:sz w:val="20"/>
        </w:rPr>
        <w:t xml:space="preserve">$70 million. For the First Half of Fiscal 2025, </w:t>
      </w:r>
      <w:r>
        <w:rPr>
          <w:rFonts w:ascii="Times New Roman;serif" w:hAnsi="Times New Roman;serif"/>
          <w:b w:val="false"/>
          <w:color w:val="000000"/>
          <w:sz w:val="20"/>
          <w:shd w:fill="FFFFFF" w:val="clear"/>
        </w:rPr>
        <w:t xml:space="preserve">operating lease expense was </w:t>
      </w:r>
      <w:r>
        <w:rPr>
          <w:rFonts w:ascii="Times New Roman;serif" w:hAnsi="Times New Roman;serif"/>
          <w:b w:val="false"/>
          <w:color w:val="000000"/>
          <w:sz w:val="20"/>
        </w:rPr>
        <w:t>$43 million</w:t>
      </w:r>
      <w:r>
        <w:rPr>
          <w:color w:val="000000"/>
          <w:shd w:fill="FFFFFF" w:val="clear"/>
        </w:rPr>
        <w:t xml:space="preserve"> </w:t>
      </w:r>
      <w:r>
        <w:rPr>
          <w:rFonts w:ascii="Times New Roman;serif" w:hAnsi="Times New Roman;serif"/>
          <w:b w:val="false"/>
          <w:color w:val="000000"/>
          <w:sz w:val="20"/>
          <w:shd w:fill="FFFFFF" w:val="clear"/>
        </w:rPr>
        <w:t xml:space="preserve">and variable lease expense was </w:t>
      </w:r>
      <w:r>
        <w:rPr>
          <w:rFonts w:ascii="Times New Roman;serif" w:hAnsi="Times New Roman;serif"/>
          <w:b w:val="false"/>
          <w:color w:val="000000"/>
          <w:sz w:val="20"/>
        </w:rPr>
        <w:t>$23 million</w:t>
      </w:r>
      <w:r>
        <w:rPr>
          <w:rFonts w:ascii="Times New Roman;serif" w:hAnsi="Times New Roman;serif"/>
          <w:b w:val="false"/>
          <w:color w:val="000000"/>
          <w:sz w:val="20"/>
          <w:shd w:fill="FFFFFF" w:val="clear"/>
        </w:rPr>
        <w:t xml:space="preserve">, resulting in total lease expense of </w:t>
      </w:r>
      <w:r>
        <w:rPr>
          <w:rFonts w:ascii="Times New Roman;serif" w:hAnsi="Times New Roman;serif"/>
          <w:b w:val="false"/>
          <w:color w:val="000000"/>
          <w:sz w:val="20"/>
        </w:rPr>
        <w:t>$66 million.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Cash paid for lease amounts included in the measurement of operating lease liabilities in the First Half of Fiscal 2026 and the First Half of Fiscal 2025 was $54 million and $46 million, respectively.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August 1, 2026, the stated lease liability payments for the fiscal years specified below were as follows (in thousands):</w:t>
      </w:r>
    </w:p>
    <w:tbl>
      <w:tblPr>
        <w:tblW w:w="7154" w:type="dxa"/>
        <w:jc w:val="center"/>
        <w:tblInd w:w="0" w:type="dxa"/>
        <w:tblLayout w:type="fixed"/>
        <w:tblCellMar>
          <w:top w:w="28" w:type="dxa"/>
          <w:left w:w="28" w:type="dxa"/>
          <w:bottom w:w="28" w:type="dxa"/>
          <w:right w:w="28" w:type="dxa"/>
        </w:tblCellMar>
      </w:tblPr>
      <w:tblGrid>
        <w:gridCol w:w="2123"/>
        <w:gridCol w:w="1863"/>
        <w:gridCol w:w="1879"/>
        <w:gridCol w:w="228"/>
        <w:gridCol w:w="895"/>
        <w:gridCol w:w="166"/>
      </w:tblGrid>
      <w:tr>
        <w:trPr/>
        <w:tc>
          <w:tcPr>
            <w:tcW w:w="2123"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Operating lease</w:t>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2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39,332 </w:t>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2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86,997 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84,888 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2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68,594 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12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47,654 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After 2031</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189,172 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28"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575,501 </w:t>
            </w:r>
          </w:p>
        </w:tc>
        <w:tc>
          <w:tcPr>
            <w:tcW w:w="166"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Difference between discounted and undiscounted lease payments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124,660 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228"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450,841 </w:t>
            </w:r>
          </w:p>
        </w:tc>
        <w:tc>
          <w:tcPr>
            <w:tcW w:w="16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Note 5.    Shareholders’ Equity: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repurchase our common stock mainly through open market repurchase plans. On March 24, 2025, our Board of Directors authorized us to spend up to $100 million to repurchase shares of our stock. This authorization superseded and replaced all previous authorizations to repurchase shares of our stock and has no automatic expiration.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Fiscal 2026 and First Half of Fiscal 2026, we repurchased no shares of our common stock pursuant to the open market repurchase plan authorization.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Fiscal 2025, we repurchased 114,477 shares of our common stock at an average cost of $40.46 for $5 million in open market repurchases under the March 24, 2025 authorization. During the First Half of Fiscal 2025, we repurchased a total of 956,484 shares in open market repurchases at an average cost of $57.12 for $55 million, including 842,007 shares of our common stock at an average cost of $59.38 for $50 million under a previous December 10, 2024, Board of Directors authorization of up to $100 million to repurchase shares of our stock.</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August 1, 2026, $95 million remained under the March 24, 2025, Board of Directors authorization.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repurchase shares from our employees to cover employee tax liabilities related to the vesting of shares of our common stock. During the Second Quarter of Fiscal 2026 and First Half of Fiscal 2026, we repurchased $1 million of shares from our employees related to the May 2026 vesting of service-based restricted share awards. During the Second Quarter of Fiscal 2025 and First Half of Fiscal 2025, we repurchased $2 million of shares from our employees related to the May 2025 vesting of service-based restricted share awards and TSR-based restricted share units.</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Long-Term Stock Incentive Plan and Equity Compensation Expense</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In recent years, we have granted a combination of service-based restricted share awards and awards based on relative total shareholder return (</w:t>
      </w:r>
      <w:r>
        <w:rPr>
          <w:color w:val="000000"/>
        </w:rPr>
        <w:t>“</w:t>
      </w:r>
      <w:r>
        <w:rPr>
          <w:rFonts w:ascii="Times New Roman;serif" w:hAnsi="Times New Roman;serif"/>
          <w:b w:val="false"/>
          <w:color w:val="000000"/>
          <w:sz w:val="20"/>
          <w:shd w:fill="FFFFFF" w:val="clear"/>
        </w:rPr>
        <w:t>TSR</w:t>
      </w:r>
      <w:r>
        <w:rPr>
          <w:color w:val="000000"/>
        </w:rPr>
        <w:t>”</w:t>
      </w:r>
      <w:r>
        <w:rPr>
          <w:rFonts w:ascii="Times New Roman;serif" w:hAnsi="Times New Roman;serif"/>
          <w:b w:val="false"/>
          <w:color w:val="000000"/>
          <w:sz w:val="20"/>
          <w:shd w:fill="FFFFFF" w:val="clear"/>
        </w:rPr>
        <w:t xml:space="preserve">) to certain select employees. </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Service-Based Restricted Share Awards</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 xml:space="preserve">The table below summarizes the service-based restricted share units activity for the </w:t>
      </w:r>
      <w:r>
        <w:rPr>
          <w:rFonts w:ascii="Times New Roman;serif" w:hAnsi="Times New Roman;serif"/>
          <w:b w:val="false"/>
          <w:color w:val="000000"/>
          <w:sz w:val="20"/>
        </w:rPr>
        <w:t>First Half of Fiscal 2026</w:t>
      </w:r>
      <w:r>
        <w:rPr>
          <w:rFonts w:ascii="Times New Roman;serif" w:hAnsi="Times New Roman;serif"/>
          <w:b w:val="false"/>
          <w:color w:val="000000"/>
          <w:sz w:val="20"/>
          <w:shd w:fill="FFFFFF" w:val="clear"/>
        </w:rPr>
        <w:t>:</w:t>
      </w:r>
    </w:p>
    <w:tbl>
      <w:tblPr>
        <w:tblW w:w="9829" w:type="dxa"/>
        <w:jc w:val="left"/>
        <w:tblInd w:w="0" w:type="dxa"/>
        <w:tblLayout w:type="fixed"/>
        <w:tblCellMar>
          <w:top w:w="28" w:type="dxa"/>
          <w:left w:w="28" w:type="dxa"/>
          <w:bottom w:w="28" w:type="dxa"/>
          <w:right w:w="28" w:type="dxa"/>
        </w:tblCellMar>
      </w:tblPr>
      <w:tblGrid>
        <w:gridCol w:w="2673"/>
        <w:gridCol w:w="2350"/>
        <w:gridCol w:w="2356"/>
        <w:gridCol w:w="309"/>
        <w:gridCol w:w="309"/>
        <w:gridCol w:w="311"/>
        <w:gridCol w:w="187"/>
        <w:gridCol w:w="187"/>
        <w:gridCol w:w="187"/>
        <w:gridCol w:w="427"/>
        <w:gridCol w:w="220"/>
        <w:gridCol w:w="313"/>
      </w:tblGrid>
      <w:tr>
        <w:trPr/>
        <w:tc>
          <w:tcPr>
            <w:tcW w:w="2673"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 of Fiscal 2026</w:t>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 xml:space="preserve">Shares or </w:t>
              <w:br/>
              <w:t>Units</w:t>
            </w:r>
          </w:p>
        </w:tc>
        <w:tc>
          <w:tcPr>
            <w:tcW w:w="5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1"/>
              <w:jc w:val="center"/>
              <w:rPr>
                <w:rFonts w:ascii="Times New Roman;serif" w:hAnsi="Times New Roman;serif"/>
                <w:b/>
                <w:color w:val="000000"/>
                <w:sz w:val="16"/>
              </w:rPr>
            </w:pPr>
            <w:r>
              <w:rPr>
                <w:rFonts w:ascii="Times New Roman;serif" w:hAnsi="Times New Roman;serif"/>
                <w:b/>
                <w:color w:val="000000"/>
                <w:sz w:val="16"/>
              </w:rPr>
              <w:t xml:space="preserve">Weighted- </w:t>
            </w:r>
          </w:p>
          <w:p>
            <w:pPr>
              <w:pStyle w:val="TableContents"/>
              <w:bidi w:val="0"/>
              <w:spacing w:lineRule="auto" w:line="273" w:before="0" w:after="1"/>
              <w:jc w:val="center"/>
              <w:rPr>
                <w:rFonts w:ascii="Times New Roman;serif" w:hAnsi="Times New Roman;serif"/>
                <w:b/>
                <w:color w:val="000000"/>
                <w:sz w:val="16"/>
              </w:rPr>
            </w:pPr>
            <w:r>
              <w:rPr>
                <w:rFonts w:ascii="Times New Roman;serif" w:hAnsi="Times New Roman;serif"/>
                <w:b/>
                <w:color w:val="000000"/>
                <w:sz w:val="16"/>
              </w:rPr>
              <w:t xml:space="preserve">average </w:t>
            </w:r>
          </w:p>
          <w:p>
            <w:pPr>
              <w:pStyle w:val="TableContents"/>
              <w:bidi w:val="0"/>
              <w:spacing w:lineRule="auto" w:line="273" w:before="0" w:after="1"/>
              <w:jc w:val="center"/>
              <w:rPr>
                <w:rFonts w:ascii="Times New Roman;serif" w:hAnsi="Times New Roman;serif"/>
                <w:b/>
                <w:color w:val="000000"/>
                <w:sz w:val="16"/>
              </w:rPr>
            </w:pPr>
            <w:r>
              <w:rPr>
                <w:rFonts w:ascii="Times New Roman;serif" w:hAnsi="Times New Roman;serif"/>
                <w:b/>
                <w:color w:val="000000"/>
                <w:sz w:val="16"/>
              </w:rPr>
              <w:t xml:space="preserve">grant date </w:t>
            </w:r>
          </w:p>
          <w:p>
            <w:pPr>
              <w:pStyle w:val="TableContents"/>
              <w:bidi w:val="0"/>
              <w:spacing w:lineRule="auto" w:line="273" w:before="0" w:after="1"/>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Awards outstanding at beginning of year</w:t>
            </w:r>
          </w:p>
        </w:tc>
        <w:tc>
          <w:tcPr>
            <w:tcW w:w="92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235,457</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Awards granted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249,865</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Awards vested, including awards repurchased from employees for employees’ tax liability</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(50,764)</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Awards forfeited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(12,643)</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Awards outstanding on August 1, 2026</w:t>
            </w:r>
          </w:p>
        </w:tc>
        <w:tc>
          <w:tcPr>
            <w:tcW w:w="929"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421,915</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r>
    </w:tbl>
    <w:p>
      <w:pPr>
        <w:pStyle w:val="TextBody"/>
        <w:bidi w:val="0"/>
        <w:spacing w:lineRule="auto" w:line="288" w:before="0" w:after="240"/>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TSR-based Restricted Share Units</w:t>
      </w:r>
    </w:p>
    <w:p>
      <w:pPr>
        <w:pStyle w:val="TextBody"/>
        <w:bidi w:val="0"/>
        <w:spacing w:lineRule="auto" w:line="288" w:before="0" w:after="240"/>
        <w:ind w:left="0" w:right="0" w:firstLine="720"/>
        <w:jc w:val="both"/>
        <w:rPr/>
      </w:pPr>
      <w:r>
        <w:rPr>
          <w:rFonts w:ascii="Times New Roman;serif" w:hAnsi="Times New Roman;serif"/>
          <w:b w:val="false"/>
          <w:color w:val="000000"/>
          <w:sz w:val="20"/>
          <w:shd w:fill="FFFFFF" w:val="clear"/>
        </w:rPr>
        <w:t xml:space="preserve">The table below summarizes the TSR-based restricted share unit activity at target for the </w:t>
      </w:r>
      <w:r>
        <w:rPr>
          <w:rFonts w:ascii="Times New Roman;serif" w:hAnsi="Times New Roman;serif"/>
          <w:b w:val="false"/>
          <w:color w:val="000000"/>
          <w:sz w:val="20"/>
        </w:rPr>
        <w:t>First Half of Fiscal 2026</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2851"/>
        <w:gridCol w:w="2507"/>
        <w:gridCol w:w="2514"/>
        <w:gridCol w:w="314"/>
        <w:gridCol w:w="293"/>
        <w:gridCol w:w="294"/>
        <w:gridCol w:w="166"/>
        <w:gridCol w:w="166"/>
        <w:gridCol w:w="166"/>
        <w:gridCol w:w="413"/>
        <w:gridCol w:w="213"/>
        <w:gridCol w:w="308"/>
      </w:tblGrid>
      <w:tr>
        <w:trPr/>
        <w:tc>
          <w:tcPr>
            <w:tcW w:w="2851"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7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 of Fiscal 2026</w:t>
            </w:r>
          </w:p>
        </w:tc>
      </w:tr>
      <w:tr>
        <w:trPr/>
        <w:tc>
          <w:tcPr>
            <w:tcW w:w="7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Share Units</w:t>
            </w:r>
          </w:p>
        </w:tc>
        <w:tc>
          <w:tcPr>
            <w:tcW w:w="49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1"/>
              <w:jc w:val="center"/>
              <w:rPr>
                <w:rFonts w:ascii="Times New Roman;serif" w:hAnsi="Times New Roman;serif"/>
                <w:b/>
                <w:color w:val="000000"/>
                <w:sz w:val="16"/>
              </w:rPr>
            </w:pPr>
            <w:r>
              <w:rPr>
                <w:rFonts w:ascii="Times New Roman;serif" w:hAnsi="Times New Roman;serif"/>
                <w:b/>
                <w:color w:val="000000"/>
                <w:sz w:val="16"/>
              </w:rPr>
              <w:t xml:space="preserve">Weighted- </w:t>
            </w:r>
          </w:p>
          <w:p>
            <w:pPr>
              <w:pStyle w:val="TableContents"/>
              <w:bidi w:val="0"/>
              <w:spacing w:lineRule="auto" w:line="273" w:before="0" w:after="1"/>
              <w:jc w:val="center"/>
              <w:rPr>
                <w:rFonts w:ascii="Times New Roman;serif" w:hAnsi="Times New Roman;serif"/>
                <w:b/>
                <w:color w:val="000000"/>
                <w:sz w:val="16"/>
              </w:rPr>
            </w:pPr>
            <w:r>
              <w:rPr>
                <w:rFonts w:ascii="Times New Roman;serif" w:hAnsi="Times New Roman;serif"/>
                <w:b/>
                <w:color w:val="000000"/>
                <w:sz w:val="16"/>
              </w:rPr>
              <w:t xml:space="preserve">average </w:t>
            </w:r>
          </w:p>
          <w:p>
            <w:pPr>
              <w:pStyle w:val="TableContents"/>
              <w:bidi w:val="0"/>
              <w:spacing w:lineRule="auto" w:line="273" w:before="0" w:after="1"/>
              <w:jc w:val="center"/>
              <w:rPr>
                <w:rFonts w:ascii="Times New Roman;serif" w:hAnsi="Times New Roman;serif"/>
                <w:b/>
                <w:color w:val="000000"/>
                <w:sz w:val="16"/>
              </w:rPr>
            </w:pPr>
            <w:r>
              <w:rPr>
                <w:rFonts w:ascii="Times New Roman;serif" w:hAnsi="Times New Roman;serif"/>
                <w:b/>
                <w:color w:val="000000"/>
                <w:sz w:val="16"/>
              </w:rPr>
              <w:t xml:space="preserve">grant date </w:t>
            </w:r>
          </w:p>
          <w:p>
            <w:pPr>
              <w:pStyle w:val="TableContents"/>
              <w:bidi w:val="0"/>
              <w:spacing w:lineRule="auto" w:line="273" w:before="0" w:after="1"/>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TSR-based awards outstanding at beginning of year</w:t>
            </w:r>
          </w:p>
        </w:tc>
        <w:tc>
          <w:tcPr>
            <w:tcW w:w="90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244,346</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TSR-based awards granted</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101,250</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TSR-based restricted shares vested including restricted share units repurchased from employees for employees’ tax liability</w:t>
            </w:r>
            <w:r>
              <w:rPr>
                <w:rFonts w:ascii="Times New Roman;serif" w:hAnsi="Times New Roman;serif"/>
                <w:b w:val="false"/>
                <w:color w:val="000000"/>
                <w:sz w:val="13"/>
              </w:rPr>
              <w:t>(1)</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(65,757)</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r>
      <w:tr>
        <w:trPr/>
        <w:tc>
          <w:tcPr>
            <w:tcW w:w="78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TSR-based awards forfeited</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(6,736)</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r>
      <w:tr>
        <w:trPr/>
        <w:tc>
          <w:tcPr>
            <w:tcW w:w="78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TSR-based awards outstanding on August 1, 2026</w:t>
            </w:r>
          </w:p>
        </w:tc>
        <w:tc>
          <w:tcPr>
            <w:tcW w:w="901"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273,103</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r>
    </w:tbl>
    <w:p>
      <w:pPr>
        <w:pStyle w:val="TextBody"/>
        <w:bidi w:val="0"/>
        <w:spacing w:lineRule="auto" w:line="288" w:before="120" w:after="24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shares reflected as vested during the First Half of Fiscal 2026 are shown at target for which performance and vesting would have occurred. No shares were issued based on the performance of our common stock.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disclosed in Note 1 to our consolidated financial statements contained in our Fiscal 2025 Form 10-K, the fair value of TSR-based awards is not tied to the price of our common stock at any fixed point in time; rather, the fair value of TSR-based awards is determined using a Monte Carlo simulation model, which models multiple TSR paths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common stock as well as the comparator group, as applicable, to evaluate and determine the estimated fair value of the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Note 6.    Debt: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Fourth Amended and Restated Credit Agreement (as amended, the “U.S. Revolving Credit Agreement”) provides for a revolving credit facility of up to $325 million, which may be used to fund working capital requirements, capital expenditures, share repurchases, future acquisitions and for general corporate purposes. The U.S. Revolving Credit Agreement matures in March 2028. Pursuant to the U.S. Revolving Credit Agreement, the interest rate applicable to our borrowings under the U.S. Revolving Credit Agreement is based on either the Term Secured Overnight Financing Rate plus an applicable margin of 135 to 185 basis points or prime plus an applicable margin of 25 to 75 basis points.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U.S. Revolving Credit Agreement generally (1) is limited to a borrowing base consisting of specified percentages of eligible categories of assets, (2) accrues variable-rate interest (weighted average interest rate of 6% as of August 1, 2026), unused line fees and letter of credit fees based upon average utilization or unused availability, as applicable, (3) requires periodic interest payments with principal due at maturity and (4) is secured by a first priority security interest in substantially all of the assets of Oxford Industries, Inc. and its domestic subsidiaries, including accounts receivable, books and records, chattel paper, deposit accounts, equipment, certain general intangibles, inventory, investment property (including the equity interests of certain subsidiaries), negotiable collateral, life insurance policies, supporting obligations, commercial tort claims, cash and cash equivalents, eligible trademarks, proceeds and other personal property.</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issue standby letters of credit under the U.S. Revolving Credit Agreement. Outstanding letters of credit under the U.S. Revolving Credit Agreement reduce the amount of borrowings available to us when issued and, as of August 1, 2026, January 31, 2026, and August 2, 2025, totaled $6 million, $5 million and $5 million, respectively.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August 1, 2026, January 31, 2026, and August 2, 2025, we had $73 million, $116 million and $81 million, respectively, of borrowings outstanding and $240 million, $203 million and $239 million, respectively, in unused availability under the U.S. Revolving Credit Agreement. The decrease in debt during the First Half of Fiscal 2026 was primarily the result of cash flow from operations exceeding (1) capital expenditures and (2) the payment of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Note 7.    Commitments and Contingencies: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20, 2026, the U.S. Supreme Court issued a decision invalidating tariffs imposed under the International Emergency Economic Powers Act (“IEEPA”). Prior to the Supreme Court decision, we paid a total of $45 million of tariffs now eligible for refund under the IEEPA tariff refund process, including $40 million and $5 million during Fiscal 2025 and the First Quarter of Fiscal 2026, respectively. We recorded $30 million of additional cost of goods sold relating to these tariffs during Fiscal 2025 with substantially all of the remainder recorded as additional cost of goods sold in the First Half of Fiscal 2026.</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Half of Fiscal 2026, we filed claims seeking refunds of previously paid IEEPA tariffs in an aggregate amount of approximately $42 million under Phase I and Phase II of the refund process established by U.S. Customs and Border Protection (“CBP”). We expect to file refund claims for the remaining amount of tariffs paid when a formal process is established for these claims.</w:t>
      </w:r>
    </w:p>
    <w:p>
      <w:pPr>
        <w:pStyle w:val="TextBody"/>
        <w:bidi w:val="0"/>
        <w:spacing w:lineRule="auto" w:line="288" w:before="0" w:after="240"/>
        <w:ind w:left="0" w:right="0" w:firstLine="720"/>
        <w:jc w:val="both"/>
        <w:rPr/>
      </w:pPr>
      <w:r>
        <w:rPr>
          <w:rFonts w:ascii="Times New Roman;serif" w:hAnsi="Times New Roman;serif"/>
          <w:b w:val="false"/>
          <w:color w:val="000000"/>
          <w:sz w:val="20"/>
        </w:rPr>
        <w:t>During the Second Quarter of Fiscal 2026, we received $29 million of tariff refunds and $1 million of related interest. We applied a loss recovery model to the previously paid IEEPA tariffs. Based on the amount of refunds received, the status of the remaining filed claims and our assessment of collectability, we determined that recovery of the remaining filed tariff refund claims was probable. Accordingly, during the Second Quarter of Fiscal 2026, we recognized the aggregate amount of filed tariff refund claims of $42 million as a reduction of cost of goods sold in the condensed consolidated statements of operations. The interest was recorded in royalties and other operating income in the condensed consolidated statements of operations. The remaining uncollected filed tariff refunds are recorded as tariff receivables in the condensed consolidated balance sheets. Subsequent to the end of the Second Quarter of Fiscal 2026, we received substantially all of the $13 million</w:t>
      </w:r>
      <w:r>
        <w:rPr>
          <w:color w:val="000000"/>
        </w:rPr>
        <w:t xml:space="preserve"> </w:t>
      </w:r>
      <w:r>
        <w:rPr>
          <w:rFonts w:ascii="Times New Roman;serif" w:hAnsi="Times New Roman;serif"/>
          <w:b w:val="false"/>
          <w:color w:val="000000"/>
          <w:sz w:val="20"/>
        </w:rPr>
        <w:t>recorded as a tariff receivable as of August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ITEM 2. MANAGEMENT’S DISCUSSION AND ANALYSIS OF FINANCIAL CONDITION AND RESULTS OF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should be read in conjunction with our unaudited condensed consolidated financial statements and the notes thereto contained in this report and the consolidated financial statements, notes to consolidated financial statements and Management’s Discussion and Analysis of Financial Condition and Results of Operations contained in our Fiscal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Business Overview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leading branded apparel company that designs, sources, markets and distributes products bearing the trademarks of our portfolio of lifestyle brands: Tommy Bahama, Lilly Pulitzer, Johnny Was, Southern Tide, TBBC, Duck Head and Jack Rogers.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strategy is to drive excellence across a portfolio of lifestyle brands that create sustained, profitable growth. We consider lifestyle brands to be those brands that have a clearly defined and targeted point of view inspired by an appealing lifestyle or attitude. Furthermore, we believe lifestyle brands that create an emotional connection can command greater loyalty and higher price points and create licensing opportunities. We believe the attraction of a lifestyle brand depends on creating compelling product, effectively communicating the respective lifestyle brand message and distributing products to consumers where and when they want them. We believe the principal competitive factors in the apparel industry are the reputation, value, and image of brand names; design of differentiated, innovative or otherwise compelling product; consumer preference; price; quality; marketing; product fulfillment capabilities; and customer service. Our ability to compete successfully in the apparel industry is dependent on our proficiency in foreseeing changes and trends in fashion and consumer preference and presenting appealing products for consumers. Our design-led, commercially informed lifestyle brand operations strive to provide exciting, differentiated fashion products each season as well as certain core products that consumers expect from us.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Fiscal 2025, 82% of our consolidated net sales were through our direct to consumer channels of distribution, which consist of our brand specific full-price retail stores, e-commerce websites and outlets, as well as our Tommy Bahama food and beverage operations. The remaining 18% of our net sales were generated through our wholesale distribution channels, which complement our direct to consumer operations and provide access to a larger base of consumers. Our wholesale operations consist of sales of products bearing the trademarks of our lifestyle brands to various specialty stores, better department stores, Signature Stores, multi-branded e-commerce retailers and other retailers.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about our business and our operating segments, see Part I, Item 1. Business of our Fiscal 2025 Form 10-K. Important factors relating to certain risks which could impact our business are described in Part I, Item 1A. Risk Factors of our Fiscal 2025 Form 10-K.</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Industry Overview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operate in a highly competitive apparel market. No single apparel firm or small group of apparel firms dominates the apparel industry, and our competitors vary by operating segment and distribution channel. The apparel industry is cyclical and highly dependent on the overall level and focus of discretionary consumer spending, which changes as consumer preferences and regional, domestic, and international economic conditions evolve. In recent years, consumers have allocated a smaller portion of discretionary spending to certain product categories, including apparel, while increasing spending on services and other goods. Further, negative economic conditions often have a longer and more pronounced impact on the apparel industry than on other industries, due in part to the discretionary nature of apparel purchases.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competitive and evolving environment requires brands and retailers to approach their operations, including with respect to marketing, merchandising, advertising, and fulfillment, differently than they have historically and may result in increased operating costs and ongoing investments to generate growth or maintain existing sales levels. The expanding use of digital platforms, data analytics, and artificial intelligence-enabled tools across the industry has raised consumer expectations for personalization, convenience, transparency, and speed, while intensifying competition across channels.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competitive pressures have been further exacerbated by a challenging macroeconomic and geopolitical environment. Significant uncertainty related to U.S. tariffs on imported goods, and broader uncertainty around U.S. trade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and tax policy, inflationary pressures, including recent significant increases in energy prices, and elevated interest rates have weighed on consumer sentiment and discretionary spending. Geopolitical tensions, including the U.S.-Iran conflict, as well as other hostilities in the Middle East, and the ongoing war in Ukraine, have added to global uncertainty and have influenced, and may continue to influence, energy markets, transportation costs, and broader supply chain dynamics. Taken together, these conditions have increased volatility and reduced visibility across the global retail and consumer environment.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response to the uncertain macroenvironment conditions, promotional activity across the industry has increased as retailers seek to offset traffic volatility and stimulate demand, further intensifying price competition. These factors have created a complex and challenging retail environment that impacts our businesses and financial results and exacerbated certain inherent challenges within the apparel industry, and may continue to do so in the future. There remains significant uncertainty in the macroeconomic environment, and the impact of these and other factors could materially affect our businesses.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lifestyle brands have true competitive advantages, and we continue to invest in our brands’ direct to consumer initiatives and distribution capabilities while further leveraging technology to serve our consumers when and where they want to be served. We continue to believe that our lifestyle brands, with their strong emotional connections with consumers, are well suited to succeed and thrive in the long term while managing the various challenges facing our industry in the current environment. At the same time, we remain cautious in light of extrinsic factors and are proactively taking measures to reassess and realign our businesses and initiatives to drive long-term operating margin expansion across our businesses.</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Tariffs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20, 2026, the U.S. Supreme Court issued a decision invalidating tariffs imposed under the International Emergency Economic Powers Act (“IEEPA”). Prior to the Supreme Court decision, we paid a total of $45 million of tariffs now eligible for refund under the IEEPA tariff refund process, including $40 million and $5 million during Fiscal 2025 and the First Quarter of Fiscal 2026, respectively. We recorded $30 million of additional cost of goods sold relating to these tariffs during Fiscal 2025 with substantially all of the remainder recorded as additional cost of goods sold in the First Half of Fiscal 2026.</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Half of Fiscal 2026, we filed claims seeking refunds of previously paid IEEPA tariffs in an aggregate amount of approximately $42 million under Phase I and Phase II of the refund process established by U.S. Customs and Border Protection (“CBP”). We expect to file refund claims for the remaining amount of tariffs paid when a formal process is established for these claims.</w:t>
      </w:r>
    </w:p>
    <w:p>
      <w:pPr>
        <w:pStyle w:val="TextBody"/>
        <w:bidi w:val="0"/>
        <w:spacing w:lineRule="auto" w:line="288" w:before="0" w:after="240"/>
        <w:ind w:left="0" w:right="0" w:firstLine="720"/>
        <w:jc w:val="both"/>
        <w:rPr/>
      </w:pPr>
      <w:r>
        <w:rPr>
          <w:rFonts w:ascii="Times New Roman;serif" w:hAnsi="Times New Roman;serif"/>
          <w:b w:val="false"/>
          <w:color w:val="000000"/>
          <w:sz w:val="20"/>
        </w:rPr>
        <w:t>During the Second Quarter of Fiscal 2026, we received $29 million of tariff refunds and $1 million of related interest. We applied a loss recovery model to the previously paid IEEPA tariffs. Based on the amount of refunds received, the status of the remaining filed claims and our assessment of collectability, we determined that recovery of the remaining filed tariff refund claims was probable. Accordingly, during the Second Quarter of Fiscal 2026, we recognized the aggregate amount of filed tariff refund claims of $42 million as a reduction of cost of goods sold in the condensed consolidated statements of operations. The interest was recorded in royalties and other operating income in the condensed consolidated statements of operations. The remaining uncollected filed tariff refunds are recorded as tariff receivables in the condensed consolidated balance sheets. Subsequent to the end of the Second Quarter of Fiscal 2026, we received substantially all of the $13 million</w:t>
      </w:r>
      <w:r>
        <w:rPr>
          <w:color w:val="000000"/>
        </w:rPr>
        <w:t xml:space="preserve"> </w:t>
      </w:r>
      <w:r>
        <w:rPr>
          <w:rFonts w:ascii="Times New Roman;serif" w:hAnsi="Times New Roman;serif"/>
          <w:b w:val="false"/>
          <w:color w:val="000000"/>
          <w:sz w:val="20"/>
        </w:rPr>
        <w:t>recorded as a tariff receivable as of August 1, 2026.</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February 24, 2026, the U.S. government imposed a temporary 10% tariff under Section 122 of the Trade Act of 1974 on most imports from all countries. Although the U.S. Court of International Trade ruled the tariffs unlawful in May 2026, the judgment was stayed pending appeal, and the tariffs remained in effect until their statutory expiration on July 24, 2026. The Section 122 tariffs were then replaced by tariffs imposed under Section 301 of the Trade Act of 1974 on imports from substantially all countries from which we source product, generally at rates of 10% or 12.5%, depending on the country of origin.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Substantial uncertainty remains regarding the scope, duration and impact of the Section 301 tariffs, as well as the potential for additional or modified U.S. tariffs and retaliatory measures by other countries.</w:t>
      </w:r>
    </w:p>
    <w:p>
      <w:pPr>
        <w:pStyle w:val="TextBody"/>
        <w:bidi w:val="0"/>
        <w:spacing w:before="24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consider a variety of performance and financial measures in assessing our business, and the key performance indicators used to measure our results are summarized below.</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Comparable Sales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often disclose comparable sales in order to provide additional information regarding changes in our results of operations between periods. Our disclosures of comparable sales include net sales from our full-price retail stores and e-commerce sites. We believe that the inclusion of both full-price retail stores and e-commerce sites in the comparable sales disclosures is a more meaningful way of reporting our comparable sales results, given similar inventory planning, allocation and return policies, as well as our cross-channel marketing and other initiatives for the direct to consumer channels. For our comparable sales disclosures, we exclude (1) outlet store sales as those clearance sales are used primarily to liquidate end of season inventory, which may vary significantly depending on the level of end of season inventory on hand and generally occur at lower gross margins than our non-clearance direct to consumer sales, and (2) food and beverage sales, as we do not currently believe that the inclusion of food and beverage sales in our comparable sales disclosures is meaningful in assessing our total company operations. Comparable sales information reflects net sales, including shipping and handling revenues, if any, associated with product sales.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our disclosures, comparable sales consists of sales through e-commerce sites and any physical full-price retail store that was owned and open as of the beginning of the prior fiscal year and which did not have during the relevant periods, and is not within the current fiscal year scheduled to have, (1) a remodel or other event which would result in a closure for an extended period of time (which we define as a period of two weeks or longer), (2) a greater than 15% change in the size of the retail space due to expansion, reduction or relocation to a new retail space or (3) a relocation to a new space that is significantly different from the prior retail space (including relocations to accommodate an adjacent Tommy Bahama food and beverage concept). For those stores which are excluded based on the preceding sentence, the stores continue to be excluded from comparable sales until the criteria for a new store is met subsequent to the remodel, relocation, or other event. A full-price retail store that is remodeled will generally continue to be included in our comparable sales metrics as a store is not typically closed for longer than a two-week period during a remodel; however, a full-price retail store that is relocated generally will not be included in our comparable sales metrics until that store has been open in the relocated space for the entirety of the prior fiscal year because the size or other characteristics of the store typically change significantly from the prior location. Any stores that were closed during the prior fiscal year or current fiscal year, or which we plan to close or vacate in the current fiscal year, as well as any pop-up or temporary store locations, are excluded from our comparable sales metrics.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Definitions and calculations of comparable sales differ among retail companies, and therefore comparable sales metrics disclosed by us may not be comparable to the metrics disclosed by other companies.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Gross Profit and Gross Margin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profit represents net sales less cost of goods sold. Gross profit as a percentage of net sales is referred to as gross margin. Cost of goods sold primarily represents the cost of merchandise sold, including the cost of duties and inbound freight from suppliers. Our gross profit is variable in nature and generally follows changes in net sales. We believe that gross profit and gross margin are useful measures because they allow management, analysts, investors and others to evaluate the profit we generate from our sales, before operating and other expenses and income.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Segment EBITDA</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Segment earnings before interest, taxes, depreciation and amortization (“EBITDA”) is the measure we use to assess the profitability of our operating segments. Segment EBITDA is calculated as net sales less cost of goods sold and total SG&amp;A of the operating segment, and it excludes amounts reflected in Corporate EBITDA, income tax expense (benefit), interest expense, net, depreciation and amortization and other infrequent operating charges (impairments of goodwill, intangible assets and equity method investments). Segment EBITDA as a percentage of segment net sales is referred to as segment EBITDA margin.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segment EBITDA is a useful measure because it allows management, analysts, investors, and other interested parties to evaluate the profitability of our business operations before the effects of certain net expenses that directly arise from our capital investment decisions (depreciation and amortization), financing decisions (interest),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strategies (income taxes), and infrequent operating charges (impairments of goodwill, intangible assets and equity method investments).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Earnings and EBITDA</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net earnings and EBITDA, along with the adjusted measure of EBITDA (“Adjusted EBITDA”), are useful measures of operating performance. Net earnings represents our profitability after the effects of all operating and other expenses and income. EBITDA helps us, analysts, investors, and other interested parties assess the underlying profitability of our operations before the effects of certain net expenses that directly arise from our capital investment decisions (depreciation and amortization), financing decisions (interest), and tax strategies (income taxes).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eliminates certain infrequent operating charges (impairments of goodwill, intangible assets and equity method investments), if any, that we do not believe are reflective of our ongoing business performance. This adjusted measure helps us, analysts, investors, and other interested parties evaluate our operating performance on a comparable basis from period-to-period so that we can better understand the ongoing factors and trends affecting our business operations. We use EBITDA, or Adjusted EBITDA, if applicable, to forecast our performance, evaluate our actual results against our forecasts and compare our results to others in the industries that we serve.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“Non-GAAP Financial Measures” below for a reconciliation of EBITDA to net earnings, the most directly comparable financial measure calculated and presented in accordance with accounting principles generally accepted in the United States (“GAAP”).</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Key Operating Results: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consolidated operating results (in thousands, except per share amounts) for the First Half of Fiscal 2026 compared to the First Half of Fiscal 2025: </w:t>
      </w:r>
    </w:p>
    <w:tbl>
      <w:tblPr>
        <w:tblW w:w="6474" w:type="dxa"/>
        <w:jc w:val="left"/>
        <w:tblInd w:w="0" w:type="dxa"/>
        <w:tblLayout w:type="fixed"/>
        <w:tblCellMar>
          <w:top w:w="28" w:type="dxa"/>
          <w:left w:w="28" w:type="dxa"/>
          <w:bottom w:w="28" w:type="dxa"/>
          <w:right w:w="28" w:type="dxa"/>
        </w:tblCellMar>
      </w:tblPr>
      <w:tblGrid>
        <w:gridCol w:w="1410"/>
        <w:gridCol w:w="1229"/>
        <w:gridCol w:w="1246"/>
        <w:gridCol w:w="332"/>
        <w:gridCol w:w="224"/>
        <w:gridCol w:w="557"/>
        <w:gridCol w:w="109"/>
        <w:gridCol w:w="109"/>
        <w:gridCol w:w="109"/>
        <w:gridCol w:w="323"/>
        <w:gridCol w:w="211"/>
        <w:gridCol w:w="615"/>
      </w:tblGrid>
      <w:tr>
        <w:trPr/>
        <w:tc>
          <w:tcPr>
            <w:tcW w:w="141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796,004</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499,911</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5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61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42,873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95,166</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diluted share</w:t>
            </w:r>
          </w:p>
        </w:tc>
        <w:tc>
          <w:tcPr>
            <w:tcW w:w="3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15,175</w:t>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earnings per diluted share was $4.25 in the First Half of Fiscal 2026 compared to $2.83 in the First Half of Fiscal 2025 reflecting (1) higher gross margin and (2) increased royalties and other operating income. These increases were partially offset by (1) decreased net sales and (2) increased SG&amp;A.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DIRECT TO CONSUMER LOCATIONS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provides information about the number of direct to consumer locations for our brands as of the dates specified. The figures below include our permanent locations and exclude any pop-up or temporary store locations which have an initial lease term of 12 months or less. </w:t>
      </w:r>
    </w:p>
    <w:tbl>
      <w:tblPr>
        <w:tblW w:w="8852" w:type="dxa"/>
        <w:jc w:val="left"/>
        <w:tblInd w:w="0" w:type="dxa"/>
        <w:tblLayout w:type="fixed"/>
        <w:tblCellMar>
          <w:top w:w="28" w:type="dxa"/>
          <w:left w:w="28" w:type="dxa"/>
          <w:bottom w:w="28" w:type="dxa"/>
          <w:right w:w="28" w:type="dxa"/>
        </w:tblCellMar>
      </w:tblPr>
      <w:tblGrid>
        <w:gridCol w:w="1546"/>
        <w:gridCol w:w="1359"/>
        <w:gridCol w:w="1370"/>
        <w:gridCol w:w="264"/>
        <w:gridCol w:w="264"/>
        <w:gridCol w:w="266"/>
        <w:gridCol w:w="109"/>
        <w:gridCol w:w="109"/>
        <w:gridCol w:w="109"/>
        <w:gridCol w:w="329"/>
        <w:gridCol w:w="329"/>
        <w:gridCol w:w="331"/>
        <w:gridCol w:w="109"/>
        <w:gridCol w:w="109"/>
        <w:gridCol w:w="109"/>
        <w:gridCol w:w="264"/>
        <w:gridCol w:w="264"/>
        <w:gridCol w:w="266"/>
        <w:gridCol w:w="109"/>
        <w:gridCol w:w="109"/>
        <w:gridCol w:w="109"/>
        <w:gridCol w:w="298"/>
        <w:gridCol w:w="298"/>
        <w:gridCol w:w="423"/>
      </w:tblGrid>
      <w:tr>
        <w:trPr/>
        <w:tc>
          <w:tcPr>
            <w:tcW w:w="154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August 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August 2,</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February 1,</w:t>
              <w:br/>
              <w:t>2025</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Tommy Bahama full-price retail stores</w:t>
            </w:r>
          </w:p>
        </w:tc>
        <w:tc>
          <w:tcPr>
            <w:tcW w:w="79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r>
      <w:tr>
        <w:trPr/>
        <w:tc>
          <w:tcPr>
            <w:tcW w:w="42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Tommy Bahama retail-food and beverage locations</w:t>
            </w:r>
          </w:p>
        </w:tc>
        <w:tc>
          <w:tcPr>
            <w:tcW w:w="7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Tommy Bahama outlets</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42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Tommy Bahama locations</w:t>
            </w:r>
          </w:p>
        </w:tc>
        <w:tc>
          <w:tcPr>
            <w:tcW w:w="79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Lilly Pulitzer full-price retail stores</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42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Johnny Was full-price retail stores</w:t>
            </w:r>
          </w:p>
        </w:tc>
        <w:tc>
          <w:tcPr>
            <w:tcW w:w="7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Johnny Was outlets</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42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Johnny Was locations</w:t>
            </w:r>
          </w:p>
        </w:tc>
        <w:tc>
          <w:tcPr>
            <w:tcW w:w="79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Southern Tide full-price retail stores</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42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TBBC full-price retail stores</w:t>
            </w:r>
          </w:p>
        </w:tc>
        <w:tc>
          <w:tcPr>
            <w:tcW w:w="7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Oxford direct to consumer locations</w:t>
            </w:r>
          </w:p>
        </w:tc>
        <w:tc>
          <w:tcPr>
            <w:tcW w:w="794"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regularly evaluate our direct to consumer locations and may close, relocate, remodel or convert stores to optimize our store footprint and support the long-term performance of our brands. In light of current macroeconomic conditions, we have recently increased our scrutiny of new, extended and underperforming brick and mortar opportunities. During the First Half of Fiscal 2026, we realigned our store fleet by converting the Johnny Was full-price retail store on King Street in Charleston, South Carolina, and the Southern Tide full-price retail store in Boca Raton, Florida, into Lilly Pulitzer full-price retail stores.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ind w:left="0" w:right="0" w:firstLine="360"/>
        <w:jc w:val="center"/>
        <w:rPr>
          <w:rFonts w:ascii="Times New Roman;serif" w:hAnsi="Times New Roman;serif"/>
          <w:b/>
          <w:color w:val="000000"/>
          <w:sz w:val="20"/>
        </w:rPr>
      </w:pPr>
      <w:r>
        <w:rPr>
          <w:rFonts w:ascii="Times New Roman;serif" w:hAnsi="Times New Roman;serif"/>
          <w:b/>
          <w:color w:val="000000"/>
          <w:sz w:val="20"/>
        </w:rPr>
        <w:t>SECOND QUARTER OF FISCAL 2026 COMPARED TO SECOND QUARTER OF FISCAL 2025</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discussion and tables below compare our statements of operations for the Second Quarter of Fiscal 2026 to the Second Quarter of Fiscal 2025. Each dollar and percentage change provided reflects the change between these fiscal periods unless indicated otherwise. Each dollar and share amount included in the tables is in thousands except for per share amounts. We have calculated all percentages based on actual data, and percentage columns in tables may not add due to rounding. Individual line items of our consolidated statements of operations, including gross profit, may not be directly comparable to those of our competitors, as classification of certain expenses may vary by company.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specified line items in our unaudited condensed consolidated statements of operations both in dollars (in thousands) and as a percentage of net sales as well as the dollar change and the percentage change as compared to the same period of the prior year. The table also includes net earnings per diluted share and diluted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weighted average shares outstanding (in thousands), as well as the change and the percentage change for each of these items as compared to the same period of the prior year.</w:t>
      </w:r>
    </w:p>
    <w:tbl>
      <w:tblPr>
        <w:tblW w:w="10205" w:type="dxa"/>
        <w:jc w:val="left"/>
        <w:tblInd w:w="0" w:type="dxa"/>
        <w:tblLayout w:type="fixed"/>
        <w:tblCellMar>
          <w:top w:w="28" w:type="dxa"/>
          <w:left w:w="28" w:type="dxa"/>
          <w:bottom w:w="28" w:type="dxa"/>
          <w:right w:w="28" w:type="dxa"/>
        </w:tblCellMar>
      </w:tblPr>
      <w:tblGrid>
        <w:gridCol w:w="957"/>
        <w:gridCol w:w="779"/>
        <w:gridCol w:w="655"/>
        <w:gridCol w:w="211"/>
        <w:gridCol w:w="826"/>
        <w:gridCol w:w="109"/>
        <w:gridCol w:w="109"/>
        <w:gridCol w:w="109"/>
        <w:gridCol w:w="109"/>
        <w:gridCol w:w="285"/>
        <w:gridCol w:w="286"/>
        <w:gridCol w:w="271"/>
        <w:gridCol w:w="109"/>
        <w:gridCol w:w="109"/>
        <w:gridCol w:w="109"/>
        <w:gridCol w:w="211"/>
        <w:gridCol w:w="826"/>
        <w:gridCol w:w="109"/>
        <w:gridCol w:w="109"/>
        <w:gridCol w:w="109"/>
        <w:gridCol w:w="109"/>
        <w:gridCol w:w="285"/>
        <w:gridCol w:w="286"/>
        <w:gridCol w:w="271"/>
        <w:gridCol w:w="109"/>
        <w:gridCol w:w="109"/>
        <w:gridCol w:w="109"/>
        <w:gridCol w:w="211"/>
        <w:gridCol w:w="721"/>
        <w:gridCol w:w="109"/>
        <w:gridCol w:w="109"/>
        <w:gridCol w:w="109"/>
        <w:gridCol w:w="109"/>
        <w:gridCol w:w="306"/>
        <w:gridCol w:w="310"/>
        <w:gridCol w:w="546"/>
      </w:tblGrid>
      <w:tr>
        <w:trPr/>
        <w:tc>
          <w:tcPr>
            <w:tcW w:w="95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21"/>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394,376 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403,143 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5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291,129 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247,625 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43,504 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5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229,468 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225,581 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other 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5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68,816 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25,411 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43,405 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5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Earnings before income taxes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67,327 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23,863 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43,464 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5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5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48,967 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16,692 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32,275 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5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earnings per diluted share</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5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14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proportion of our consolidated net sales by distribution channel for each period presented. We have calculated all percentages below on actual data, and percentages may not add to 100 due to rounding. </w:t>
      </w:r>
    </w:p>
    <w:tbl>
      <w:tblPr>
        <w:tblW w:w="4013" w:type="dxa"/>
        <w:jc w:val="left"/>
        <w:tblInd w:w="0" w:type="dxa"/>
        <w:tblLayout w:type="fixed"/>
        <w:tblCellMar>
          <w:top w:w="28" w:type="dxa"/>
          <w:left w:w="28" w:type="dxa"/>
          <w:bottom w:w="28" w:type="dxa"/>
          <w:right w:w="28" w:type="dxa"/>
        </w:tblCellMar>
      </w:tblPr>
      <w:tblGrid>
        <w:gridCol w:w="613"/>
        <w:gridCol w:w="539"/>
        <w:gridCol w:w="543"/>
        <w:gridCol w:w="309"/>
        <w:gridCol w:w="309"/>
        <w:gridCol w:w="311"/>
        <w:gridCol w:w="138"/>
        <w:gridCol w:w="138"/>
        <w:gridCol w:w="138"/>
        <w:gridCol w:w="285"/>
        <w:gridCol w:w="285"/>
        <w:gridCol w:w="405"/>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41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92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16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E-commerce</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6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29"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Net Sales</w:t>
      </w:r>
    </w:p>
    <w:tbl>
      <w:tblPr>
        <w:tblW w:w="7287" w:type="dxa"/>
        <w:jc w:val="left"/>
        <w:tblInd w:w="0" w:type="dxa"/>
        <w:tblLayout w:type="fixed"/>
        <w:tblCellMar>
          <w:top w:w="28" w:type="dxa"/>
          <w:left w:w="28" w:type="dxa"/>
          <w:bottom w:w="28" w:type="dxa"/>
          <w:right w:w="28" w:type="dxa"/>
        </w:tblCellMar>
      </w:tblPr>
      <w:tblGrid>
        <w:gridCol w:w="717"/>
        <w:gridCol w:w="628"/>
        <w:gridCol w:w="634"/>
        <w:gridCol w:w="211"/>
        <w:gridCol w:w="826"/>
        <w:gridCol w:w="109"/>
        <w:gridCol w:w="109"/>
        <w:gridCol w:w="109"/>
        <w:gridCol w:w="109"/>
        <w:gridCol w:w="211"/>
        <w:gridCol w:w="826"/>
        <w:gridCol w:w="109"/>
        <w:gridCol w:w="109"/>
        <w:gridCol w:w="109"/>
        <w:gridCol w:w="109"/>
        <w:gridCol w:w="211"/>
        <w:gridCol w:w="691"/>
        <w:gridCol w:w="109"/>
        <w:gridCol w:w="109"/>
        <w:gridCol w:w="109"/>
        <w:gridCol w:w="109"/>
        <w:gridCol w:w="239"/>
        <w:gridCol w:w="241"/>
        <w:gridCol w:w="544"/>
      </w:tblGrid>
      <w:tr>
        <w:trPr/>
        <w:tc>
          <w:tcPr>
            <w:tcW w:w="7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 Change</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Tommy Bahama</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230,942 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229,003 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Lilly Pulitzer</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90,268 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54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Johnny Was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Brands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54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 %</w:t>
            </w:r>
          </w:p>
        </w:tc>
      </w:tr>
      <w:tr>
        <w:trPr/>
        <w:tc>
          <w:tcPr>
            <w:tcW w:w="19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net sales</w:t>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394,376 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403,143 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(8,767)</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44"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360"/>
        <w:jc w:val="both"/>
        <w:rPr/>
      </w:pPr>
      <w:r>
        <w:rPr>
          <w:rFonts w:ascii="Times New Roman;serif" w:hAnsi="Times New Roman;serif"/>
          <w:b w:val="false"/>
          <w:color w:val="000000"/>
          <w:sz w:val="20"/>
        </w:rPr>
        <w:t>Consolidated net sales were $394 million</w:t>
      </w:r>
      <w:r>
        <w:rPr>
          <w:color w:val="000000"/>
        </w:rPr>
        <w:t xml:space="preserve"> </w:t>
      </w:r>
      <w:r>
        <w:rPr>
          <w:rFonts w:ascii="Times New Roman;serif" w:hAnsi="Times New Roman;serif"/>
          <w:b w:val="false"/>
          <w:color w:val="000000"/>
          <w:sz w:val="20"/>
        </w:rPr>
        <w:t>in the Second Quarter of Fiscal 2026 compared to net sales of $403 million</w:t>
      </w:r>
      <w:r>
        <w:rPr>
          <w:color w:val="000000"/>
        </w:rPr>
        <w:t xml:space="preserve"> </w:t>
      </w:r>
      <w:r>
        <w:rPr>
          <w:rFonts w:ascii="Times New Roman;serif" w:hAnsi="Times New Roman;serif"/>
          <w:b w:val="false"/>
          <w:color w:val="000000"/>
          <w:sz w:val="20"/>
        </w:rPr>
        <w:t>in the Second Quarter of Fiscal 2025. T</w:t>
      </w:r>
      <w:r>
        <w:rPr>
          <w:rFonts w:ascii="Times New Roman;serif" w:hAnsi="Times New Roman;serif"/>
          <w:b w:val="false"/>
          <w:color w:val="000000"/>
          <w:sz w:val="20"/>
          <w:shd w:fill="FFFFFF" w:val="clear"/>
        </w:rPr>
        <w:t xml:space="preserve">he decrease </w:t>
      </w:r>
      <w:r>
        <w:rPr>
          <w:rFonts w:ascii="Times New Roman;serif" w:hAnsi="Times New Roman;serif"/>
          <w:b w:val="false"/>
          <w:color w:val="000000"/>
          <w:sz w:val="20"/>
        </w:rPr>
        <w:t>in net sales included decreased sales in Lilly Pulitzer, Johnny Was and Emerging Brands. These decreases were partially offset by increased sales in Tommy Bahama.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changes in net sales by distribution channel consisted of the following: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decrease in wholesale sales of $9 million, or 14%, including (1) a $5 million decrease in Tommy Bahama, (2) a $2 million decrease in Emerging Brands, (3) a $1 million decrease in Johnny Was and (4) a $1 million decrease in Lilly Pulitzer;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decrease in full-price retail sales of $3 million, or 2%, including (1) a $3 million decrease in Lilly Pulitzer, (2) a $2 million decrease in Emerging Brands and (3) a $1 million decrease in Johnny Was. These decreases were partially offset by a $2 million increase in Tommy Bahama;</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increase in e-commerce sales of $1 million, or less than 1%, including (1) a $2 million increase in Emerging Brands and (2) a $1 million increase in Tommy Bahama. These increases were partially offset by (1) a $1 million decrease in Johnny Was and (2) a $1 million decrease in Lilly Pulitzer;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increase in food and beverage sales of $3 million, or 11%;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outlet sales in the Second Quarter of Fiscal 2026 were comparable to the Second Quarter of Fiscal 2025.</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Tommy Bahama: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Tommy Bahama net sales increased $2 million, or 1%, in the Second Quarter of Fiscal 2026, with an increase in (1) food and beverage sales of $3 million, or 11%, (2) full-price retail sales of $2 million, or 3% and (3) e-commerce sales of $1 million, or 2%. These increases were partially offset by a decrease in wholesale sales of $5 million, or 15%. Outlet sales in the Second Quarter of Fiscal 2026 were comparable to the Second Quarter of Fiscal 2025. The following table presents the proportion of net sales by distribution channel for Tommy Bahama for each period presented:</w:t>
      </w:r>
    </w:p>
    <w:tbl>
      <w:tblPr>
        <w:tblW w:w="4013" w:type="dxa"/>
        <w:jc w:val="left"/>
        <w:tblInd w:w="0" w:type="dxa"/>
        <w:tblLayout w:type="fixed"/>
        <w:tblCellMar>
          <w:top w:w="28" w:type="dxa"/>
          <w:left w:w="28" w:type="dxa"/>
          <w:bottom w:w="28" w:type="dxa"/>
          <w:right w:w="28" w:type="dxa"/>
        </w:tblCellMar>
      </w:tblPr>
      <w:tblGrid>
        <w:gridCol w:w="613"/>
        <w:gridCol w:w="539"/>
        <w:gridCol w:w="543"/>
        <w:gridCol w:w="309"/>
        <w:gridCol w:w="309"/>
        <w:gridCol w:w="311"/>
        <w:gridCol w:w="138"/>
        <w:gridCol w:w="138"/>
        <w:gridCol w:w="138"/>
        <w:gridCol w:w="285"/>
        <w:gridCol w:w="285"/>
        <w:gridCol w:w="405"/>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41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92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16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E-commerce</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16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29"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Lilly Pulitzer: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Lilly Pulitzer net sales decreased $5 million, or 6%, in the Second Quarter of Fiscal 2026, with a decrease in (1) retail sales of $3 million, or 8%, (2) wholesale sales of $1 million, or 9%, and (3) e-commerce sales of $1 million, or 2%. The following table presents the proportion of net sales by distribution channel for Lilly Pulitzer for each period presented:</w:t>
      </w:r>
    </w:p>
    <w:tbl>
      <w:tblPr>
        <w:tblW w:w="3444" w:type="dxa"/>
        <w:jc w:val="center"/>
        <w:tblInd w:w="0" w:type="dxa"/>
        <w:tblLayout w:type="fixed"/>
        <w:tblCellMar>
          <w:top w:w="28" w:type="dxa"/>
          <w:left w:w="28" w:type="dxa"/>
          <w:bottom w:w="28" w:type="dxa"/>
          <w:right w:w="28" w:type="dxa"/>
        </w:tblCellMar>
      </w:tblPr>
      <w:tblGrid>
        <w:gridCol w:w="407"/>
        <w:gridCol w:w="358"/>
        <w:gridCol w:w="361"/>
        <w:gridCol w:w="309"/>
        <w:gridCol w:w="309"/>
        <w:gridCol w:w="311"/>
        <w:gridCol w:w="138"/>
        <w:gridCol w:w="138"/>
        <w:gridCol w:w="138"/>
        <w:gridCol w:w="285"/>
        <w:gridCol w:w="285"/>
        <w:gridCol w:w="405"/>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41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92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E-commerce</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29"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Johnny Was: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Johnny Was net sales decreased $4 million, or 9%, in the Second Quarter of Fiscal 2026, with a decrease in (1) full-price retail sales of $1 million, or 9%, (2) wholesale sales of $1 million, or 20%, and (3) e-commerce sales of $1 million, or 7%. Outlet sales in the Second Quarter of Fiscal 2026 were comparable to the Second Quarter of Fiscal 2025. The following table presents the proportion of net sales by distribution channel for Johnny Was for each period presented:</w:t>
      </w:r>
    </w:p>
    <w:tbl>
      <w:tblPr>
        <w:tblW w:w="3444" w:type="dxa"/>
        <w:jc w:val="left"/>
        <w:tblInd w:w="0" w:type="dxa"/>
        <w:tblLayout w:type="fixed"/>
        <w:tblCellMar>
          <w:top w:w="28" w:type="dxa"/>
          <w:left w:w="28" w:type="dxa"/>
          <w:bottom w:w="28" w:type="dxa"/>
          <w:right w:w="28" w:type="dxa"/>
        </w:tblCellMar>
      </w:tblPr>
      <w:tblGrid>
        <w:gridCol w:w="407"/>
        <w:gridCol w:w="358"/>
        <w:gridCol w:w="361"/>
        <w:gridCol w:w="309"/>
        <w:gridCol w:w="309"/>
        <w:gridCol w:w="311"/>
        <w:gridCol w:w="138"/>
        <w:gridCol w:w="138"/>
        <w:gridCol w:w="138"/>
        <w:gridCol w:w="285"/>
        <w:gridCol w:w="285"/>
        <w:gridCol w:w="405"/>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41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92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E-commerce</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29"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Emerging Brands: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Emerging Brands net sales decreased $1 million, or 4%, in the Second Quarter of Fiscal 2026 including a decrease in Southern Tide partially offset by increases in Duck Head and Jack Rogers. By distribution channel, the decrease in net sales in Emerging Brands included a decrease in (1) wholesale sales of $2 million, or 15%, and (2) retail sales of $2 million, or 19%. These decreases were partially offset by an increase in e-commerce sales of $2 million, or 9%. The following table presents the proportion of net sales by distribution channel for Emerging Brands for each period presented:</w:t>
      </w:r>
    </w:p>
    <w:tbl>
      <w:tblPr>
        <w:tblW w:w="3444" w:type="dxa"/>
        <w:jc w:val="left"/>
        <w:tblInd w:w="0" w:type="dxa"/>
        <w:tblLayout w:type="fixed"/>
        <w:tblCellMar>
          <w:top w:w="28" w:type="dxa"/>
          <w:left w:w="28" w:type="dxa"/>
          <w:bottom w:w="28" w:type="dxa"/>
          <w:right w:w="28" w:type="dxa"/>
        </w:tblCellMar>
      </w:tblPr>
      <w:tblGrid>
        <w:gridCol w:w="407"/>
        <w:gridCol w:w="358"/>
        <w:gridCol w:w="361"/>
        <w:gridCol w:w="309"/>
        <w:gridCol w:w="309"/>
        <w:gridCol w:w="311"/>
        <w:gridCol w:w="138"/>
        <w:gridCol w:w="138"/>
        <w:gridCol w:w="138"/>
        <w:gridCol w:w="285"/>
        <w:gridCol w:w="285"/>
        <w:gridCol w:w="405"/>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41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92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E-commerce</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29"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Corporate and Other: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Corporate and Other net sales primarily consist of the elimination of any sales between operating segments. </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tables below present gross profit by reportable segment and Corporate and Other and in total for the Second Quarter of Fiscal 2026 and the Second Quarter of Fiscal 2025, as well as the dollar change and percentage change between those two periods, and gross margin by reportable segment and Corporate and Other and in total. Our gross profit and gross margin, which is calculated as gross profit divided by net sales, may not be directly comparable to those of our competitors, as the statement of operations classification of certain expenses may vary by company.</w:t>
      </w:r>
    </w:p>
    <w:tbl>
      <w:tblPr>
        <w:tblW w:w="7619" w:type="dxa"/>
        <w:jc w:val="left"/>
        <w:tblInd w:w="0" w:type="dxa"/>
        <w:tblLayout w:type="fixed"/>
        <w:tblCellMar>
          <w:top w:w="28" w:type="dxa"/>
          <w:left w:w="28" w:type="dxa"/>
          <w:bottom w:w="28" w:type="dxa"/>
          <w:right w:w="28" w:type="dxa"/>
        </w:tblCellMar>
      </w:tblPr>
      <w:tblGrid>
        <w:gridCol w:w="815"/>
        <w:gridCol w:w="714"/>
        <w:gridCol w:w="721"/>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44"/>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Tommy Bahama</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162,420 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138,951 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23,469 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Lilly Pulitzer</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54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Johnny Was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Brands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54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 %</w:t>
            </w:r>
          </w:p>
        </w:tc>
      </w:tr>
      <w:tr>
        <w:trPr/>
        <w:tc>
          <w:tcPr>
            <w:tcW w:w="22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gross profit</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291,129 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247,625 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43,504 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5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tbl>
      <w:tblPr>
        <w:tblW w:w="4718" w:type="dxa"/>
        <w:jc w:val="left"/>
        <w:tblInd w:w="0" w:type="dxa"/>
        <w:tblLayout w:type="fixed"/>
        <w:tblCellMar>
          <w:top w:w="28" w:type="dxa"/>
          <w:left w:w="28" w:type="dxa"/>
          <w:bottom w:w="28" w:type="dxa"/>
          <w:right w:w="28" w:type="dxa"/>
        </w:tblCellMar>
      </w:tblPr>
      <w:tblGrid>
        <w:gridCol w:w="869"/>
        <w:gridCol w:w="762"/>
        <w:gridCol w:w="769"/>
        <w:gridCol w:w="309"/>
        <w:gridCol w:w="309"/>
        <w:gridCol w:w="311"/>
        <w:gridCol w:w="138"/>
        <w:gridCol w:w="138"/>
        <w:gridCol w:w="138"/>
        <w:gridCol w:w="285"/>
        <w:gridCol w:w="285"/>
        <w:gridCol w:w="405"/>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41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Tommy Bahama</w:t>
            </w:r>
          </w:p>
        </w:tc>
        <w:tc>
          <w:tcPr>
            <w:tcW w:w="92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Lilly Pulitzer</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Johnny Was</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Brands</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gross margin</w:t>
            </w:r>
          </w:p>
        </w:tc>
        <w:tc>
          <w:tcPr>
            <w:tcW w:w="929"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increased gross profit was due to increased consolidated gross margin partially offset by decreased net sales. The increased gross margin was primarily due to (1) the favorable impact of recognizing $42 million of tariff refund claims as a reduction of cost of goods sold, (2) updated assortment, sourcing and pricing strategies across our portfolio that resulted in higher initial mark-ups (“IMUs”), (3) a change in sales mix with off-price wholesale sales representing a lower proportion of net sales and (4) a $1 million lower LIFO accounting charge in the Second Quarter of Fiscal 2026 compared to the Second Quarter of Fiscal 2025. These factors were partially offset by a change in sales mix with a higher proportion of net sales occurring during promotional events at Tommy Bahama, Lilly Pulitzer and Emerging Brands.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Tommy Bahama:</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higher gross margin for Tommy Bahama was primarily due to (1) the favorable impact of tariff refund claims recognized as a reduction of cost of goods sold, (2) updated assortment, sourcing and pricing strategies resulting in higher IMUs and (3) a change in sales mix with off-price wholesale sales representing a lower proportion of net sales. These factors were partially offset by a change in sales mix with a higher proportion of net sales occurring during promotional events, including loyalty award cards and end of season clearance events.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Lilly Pulitzer: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higher gross margin for Lilly Pulitzer was primarily due to (1) the favorable impact of tariff refund claims recognized as a reduction of cost of goods sold, (2) updated assortment, sourcing and pricing strategies resulting in higher IMUs and (3) a change in sales mix with off-price wholesale sales representing a lower proportion of net sales. These factors were partially offset by (1) a change in sales mix with a higher proportion of net sales occurring during promotional events, including e-commerce flash sales and (2) more significant markdowns during e-commerce flash sales.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Johnny Was: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higher gross margin for Johnny Was was primarily due to (1) the favorable impact of tariff refund claims recognized as a reduction of cost of goods sold, (2) updated assortment, sourcing and pricing strategies resulting in higher IMUs, (3) a change in sales mix with off-price wholesale sales representing a lower proportion of net sales and (4) a revised promotional strategy to have fewer promotional events than in previous periods.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Emerging Brands: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higher gross margin for Emerging Brands was primarily due to (1) the favorable impact of tariff refund claims recognized as a reduction of cost of goods sold and (2) a change in sales mix with e-commerce sales representing a higher proportion of net sales. These increases were partially offset by (1) a change in sales mix with a higher proportion of net sales occurring during promotional events and (2) more significant markdowns during promotional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Corporate and Other: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gross profit in Corporate and Other primarily reflects the impact of LIFO accounting adjustments, which decreased by $1 million in the Second Quarter of Fiscal 2026 compared to the Second Quarter of Fiscal 2025.</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SG&amp;A</w:t>
      </w:r>
    </w:p>
    <w:tbl>
      <w:tblPr>
        <w:tblW w:w="7095" w:type="dxa"/>
        <w:jc w:val="left"/>
        <w:tblInd w:w="0" w:type="dxa"/>
        <w:tblLayout w:type="fixed"/>
        <w:tblCellMar>
          <w:top w:w="28" w:type="dxa"/>
          <w:left w:w="28" w:type="dxa"/>
          <w:bottom w:w="28" w:type="dxa"/>
          <w:right w:w="28" w:type="dxa"/>
        </w:tblCellMar>
      </w:tblPr>
      <w:tblGrid>
        <w:gridCol w:w="819"/>
        <w:gridCol w:w="717"/>
        <w:gridCol w:w="728"/>
        <w:gridCol w:w="233"/>
        <w:gridCol w:w="233"/>
        <w:gridCol w:w="516"/>
        <w:gridCol w:w="109"/>
        <w:gridCol w:w="109"/>
        <w:gridCol w:w="109"/>
        <w:gridCol w:w="233"/>
        <w:gridCol w:w="233"/>
        <w:gridCol w:w="516"/>
        <w:gridCol w:w="109"/>
        <w:gridCol w:w="109"/>
        <w:gridCol w:w="109"/>
        <w:gridCol w:w="211"/>
        <w:gridCol w:w="616"/>
        <w:gridCol w:w="109"/>
        <w:gridCol w:w="109"/>
        <w:gridCol w:w="109"/>
        <w:gridCol w:w="109"/>
        <w:gridCol w:w="203"/>
        <w:gridCol w:w="203"/>
        <w:gridCol w:w="544"/>
      </w:tblGrid>
      <w:tr>
        <w:trPr/>
        <w:tc>
          <w:tcPr>
            <w:tcW w:w="81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98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SG&amp;A (as a % of net sales)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5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5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SG&amp;A was $212 million in the Second Quarter of Fiscal 2026 compared to $209 million in the Second Quarter of Fiscal 2025. Th</w:t>
      </w:r>
      <w:r>
        <w:rPr>
          <w:rFonts w:ascii="Times New Roman;serif" w:hAnsi="Times New Roman;serif"/>
          <w:b w:val="false"/>
          <w:color w:val="000000"/>
          <w:sz w:val="20"/>
        </w:rPr>
        <w:t xml:space="preserve">e 2% increase in total SG&amp;A in the Second Quarter of Fiscal 2026 included the following: </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$3 million increase in costs related to new brick and mortar retail and food and beverage locations;</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$1 million increase in software related costs;</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$1 million increase in variable and distribution costs primarily due to costs associated with moving operations between our Lyons, Georgia distribution centers and temporarily operating two distribution centers during the transition to the newly constructed facility;</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$1 million of store closure related charges; and</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$1 million increase in advertising related costs.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increases were partially offset by:</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$4 million decrease in incentive compensation.</w:t>
      </w:r>
    </w:p>
    <w:p>
      <w:pPr>
        <w:pStyle w:val="TextBody"/>
        <w:bidi w:val="0"/>
        <w:spacing w:lineRule="auto" w:line="288" w:before="24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Depreciation and Amortization</w:t>
      </w:r>
    </w:p>
    <w:tbl>
      <w:tblPr>
        <w:tblW w:w="9348" w:type="dxa"/>
        <w:jc w:val="left"/>
        <w:tblInd w:w="0" w:type="dxa"/>
        <w:tblLayout w:type="fixed"/>
        <w:tblCellMar>
          <w:top w:w="28" w:type="dxa"/>
          <w:left w:w="28" w:type="dxa"/>
          <w:bottom w:w="28" w:type="dxa"/>
          <w:right w:w="28" w:type="dxa"/>
        </w:tblCellMar>
      </w:tblPr>
      <w:tblGrid>
        <w:gridCol w:w="1526"/>
        <w:gridCol w:w="1342"/>
        <w:gridCol w:w="1347"/>
        <w:gridCol w:w="211"/>
        <w:gridCol w:w="721"/>
        <w:gridCol w:w="271"/>
        <w:gridCol w:w="109"/>
        <w:gridCol w:w="109"/>
        <w:gridCol w:w="109"/>
        <w:gridCol w:w="211"/>
        <w:gridCol w:w="721"/>
        <w:gridCol w:w="271"/>
        <w:gridCol w:w="109"/>
        <w:gridCol w:w="109"/>
        <w:gridCol w:w="109"/>
        <w:gridCol w:w="213"/>
        <w:gridCol w:w="471"/>
        <w:gridCol w:w="112"/>
        <w:gridCol w:w="109"/>
        <w:gridCol w:w="109"/>
        <w:gridCol w:w="109"/>
        <w:gridCol w:w="203"/>
        <w:gridCol w:w="203"/>
        <w:gridCol w:w="54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17,198 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(as a % of net sales)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7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7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higher depreciation and amortization expense was primarily driven by a $1 million increase in depreciation of property and equipment associated with our new distribution center in Lyons, Georgia.</w:t>
      </w:r>
    </w:p>
    <w:p>
      <w:pPr>
        <w:pStyle w:val="TextBody"/>
        <w:bidi w:val="0"/>
        <w:spacing w:lineRule="auto" w:line="288" w:before="24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Royalties and other operating income</w:t>
      </w:r>
    </w:p>
    <w:tbl>
      <w:tblPr>
        <w:tblW w:w="8128" w:type="dxa"/>
        <w:jc w:val="left"/>
        <w:tblInd w:w="0" w:type="dxa"/>
        <w:tblLayout w:type="fixed"/>
        <w:tblCellMar>
          <w:top w:w="28" w:type="dxa"/>
          <w:left w:w="28" w:type="dxa"/>
          <w:bottom w:w="28" w:type="dxa"/>
          <w:right w:w="28" w:type="dxa"/>
        </w:tblCellMar>
      </w:tblPr>
      <w:tblGrid>
        <w:gridCol w:w="1150"/>
        <w:gridCol w:w="1013"/>
        <w:gridCol w:w="101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308"/>
        <w:gridCol w:w="308"/>
        <w:gridCol w:w="54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other operating income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360"/>
        <w:jc w:val="both"/>
        <w:rPr/>
      </w:pPr>
      <w:r>
        <w:rPr>
          <w:rFonts w:ascii="Times New Roman;serif" w:hAnsi="Times New Roman;serif"/>
          <w:b w:val="false"/>
          <w:color w:val="000000"/>
          <w:sz w:val="20"/>
          <w:shd w:fill="FFFFFF" w:val="clear"/>
        </w:rPr>
        <w:t>Royalties and other operating income typically consists primarily of income received from third parties from the licensing of our brands. The increased royalties and other operating income in the Second Quarter of Fiscal 2026 was primarily due to increased royalty income in Tommy Bahama reflecting higher sales by our licensing partners. Also, in the Second Quarter of Fiscal 2026, $1 million of interest was received related to tariff refunds.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income</w:t>
      </w:r>
    </w:p>
    <w:tbl>
      <w:tblPr>
        <w:tblW w:w="8782" w:type="dxa"/>
        <w:jc w:val="left"/>
        <w:tblInd w:w="0" w:type="dxa"/>
        <w:tblLayout w:type="fixed"/>
        <w:tblCellMar>
          <w:top w:w="28" w:type="dxa"/>
          <w:left w:w="28" w:type="dxa"/>
          <w:bottom w:w="28" w:type="dxa"/>
          <w:right w:w="28" w:type="dxa"/>
        </w:tblCellMar>
      </w:tblPr>
      <w:tblGrid>
        <w:gridCol w:w="1158"/>
        <w:gridCol w:w="1014"/>
        <w:gridCol w:w="1022"/>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308"/>
        <w:gridCol w:w="308"/>
        <w:gridCol w:w="544"/>
      </w:tblGrid>
      <w:tr>
        <w:trPr/>
        <w:tc>
          <w:tcPr>
            <w:tcW w:w="115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68,816 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25,411 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43,405 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(as a % of net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Operating income was $69 million in the Second Quarter of Fiscal 2026 compared to operating income of $25 million in the Second Quarter of Fiscal 2025. The increased operating results were primarily due to (1) higher gross margin and (2) increased royalties and other operating income. These increases were partially offset by (1) decreased net sales and (2) increased SG&amp;A.</w:t>
      </w:r>
    </w:p>
    <w:p>
      <w:pPr>
        <w:pStyle w:val="TextBody"/>
        <w:bidi w:val="0"/>
        <w:spacing w:before="0" w:after="0"/>
        <w:jc w:val="left"/>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expense, net</w:t>
      </w:r>
    </w:p>
    <w:tbl>
      <w:tblPr>
        <w:tblW w:w="6528" w:type="dxa"/>
        <w:jc w:val="left"/>
        <w:tblInd w:w="0" w:type="dxa"/>
        <w:tblLayout w:type="fixed"/>
        <w:tblCellMar>
          <w:top w:w="28" w:type="dxa"/>
          <w:left w:w="28" w:type="dxa"/>
          <w:bottom w:w="28" w:type="dxa"/>
          <w:right w:w="28" w:type="dxa"/>
        </w:tblCellMar>
      </w:tblPr>
      <w:tblGrid>
        <w:gridCol w:w="641"/>
        <w:gridCol w:w="563"/>
        <w:gridCol w:w="566"/>
        <w:gridCol w:w="309"/>
        <w:gridCol w:w="309"/>
        <w:gridCol w:w="311"/>
        <w:gridCol w:w="140"/>
        <w:gridCol w:w="140"/>
        <w:gridCol w:w="140"/>
        <w:gridCol w:w="309"/>
        <w:gridCol w:w="309"/>
        <w:gridCol w:w="311"/>
        <w:gridCol w:w="109"/>
        <w:gridCol w:w="109"/>
        <w:gridCol w:w="109"/>
        <w:gridCol w:w="241"/>
        <w:gridCol w:w="436"/>
        <w:gridCol w:w="125"/>
        <w:gridCol w:w="109"/>
        <w:gridCol w:w="109"/>
        <w:gridCol w:w="109"/>
        <w:gridCol w:w="239"/>
        <w:gridCol w:w="241"/>
        <w:gridCol w:w="54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42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6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2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expense, net in the Second Quarter of Fiscal 2026 was comparable to the Second Quarter of Fiscal 2025.</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Income tax</w:t>
      </w:r>
    </w:p>
    <w:tbl>
      <w:tblPr>
        <w:tblW w:w="6882" w:type="dxa"/>
        <w:jc w:val="left"/>
        <w:tblInd w:w="0" w:type="dxa"/>
        <w:tblLayout w:type="fixed"/>
        <w:tblCellMar>
          <w:top w:w="28" w:type="dxa"/>
          <w:left w:w="28" w:type="dxa"/>
          <w:bottom w:w="28" w:type="dxa"/>
          <w:right w:w="28" w:type="dxa"/>
        </w:tblCellMar>
      </w:tblPr>
      <w:tblGrid>
        <w:gridCol w:w="625"/>
        <w:gridCol w:w="548"/>
        <w:gridCol w:w="552"/>
        <w:gridCol w:w="251"/>
        <w:gridCol w:w="215"/>
        <w:gridCol w:w="516"/>
        <w:gridCol w:w="109"/>
        <w:gridCol w:w="109"/>
        <w:gridCol w:w="109"/>
        <w:gridCol w:w="270"/>
        <w:gridCol w:w="207"/>
        <w:gridCol w:w="516"/>
        <w:gridCol w:w="109"/>
        <w:gridCol w:w="109"/>
        <w:gridCol w:w="109"/>
        <w:gridCol w:w="211"/>
        <w:gridCol w:w="721"/>
        <w:gridCol w:w="109"/>
        <w:gridCol w:w="109"/>
        <w:gridCol w:w="109"/>
        <w:gridCol w:w="109"/>
        <w:gridCol w:w="308"/>
        <w:gridCol w:w="308"/>
        <w:gridCol w:w="54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8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11,189 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51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51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effective tax rate will vary from period to period from a typical annual effective tax rate of approximately 25% based on various factors including, but not limited to, the geographic mix of earnings, enacted tax legislation, state and local taxes, tax audit findings and settlements, and the interaction of various global tax strategies.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Second Quarter of Fiscal 2026 and the Second Quarter of Fiscal 2025, our effective tax rate of 27.3% and 30.1%, respectively, primarily reflects the unfavorable net discrete tax expense for shortfalls in stock-based compensation vesting during each respective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Net earnings</w:t>
      </w:r>
    </w:p>
    <w:tbl>
      <w:tblPr>
        <w:tblW w:w="6290" w:type="dxa"/>
        <w:jc w:val="left"/>
        <w:tblInd w:w="0" w:type="dxa"/>
        <w:tblLayout w:type="fixed"/>
        <w:tblCellMar>
          <w:top w:w="28" w:type="dxa"/>
          <w:left w:w="28" w:type="dxa"/>
          <w:bottom w:w="28" w:type="dxa"/>
          <w:right w:w="28" w:type="dxa"/>
        </w:tblCellMar>
      </w:tblPr>
      <w:tblGrid>
        <w:gridCol w:w="1406"/>
        <w:gridCol w:w="1231"/>
        <w:gridCol w:w="1248"/>
        <w:gridCol w:w="236"/>
        <w:gridCol w:w="643"/>
        <w:gridCol w:w="138"/>
        <w:gridCol w:w="109"/>
        <w:gridCol w:w="109"/>
        <w:gridCol w:w="109"/>
        <w:gridCol w:w="235"/>
        <w:gridCol w:w="634"/>
        <w:gridCol w:w="192"/>
      </w:tblGrid>
      <w:tr>
        <w:trPr/>
        <w:tc>
          <w:tcPr>
            <w:tcW w:w="140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403,143</w:t>
            </w:r>
          </w:p>
        </w:tc>
      </w:tr>
      <w:tr>
        <w:trPr/>
        <w:tc>
          <w:tcPr>
            <w:tcW w:w="38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3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25,411</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16,692</w:t>
            </w:r>
          </w:p>
        </w:tc>
      </w:tr>
      <w:tr>
        <w:trPr/>
        <w:tc>
          <w:tcPr>
            <w:tcW w:w="38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diluted share</w:t>
            </w:r>
          </w:p>
        </w:tc>
        <w:tc>
          <w:tcPr>
            <w:tcW w:w="23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14,944</w:t>
            </w:r>
          </w:p>
        </w:tc>
      </w:tr>
    </w:tbl>
    <w:p>
      <w:pPr>
        <w:pStyle w:val="TextBody"/>
        <w:bidi w:val="0"/>
        <w:spacing w:lineRule="auto" w:line="288" w:before="0" w:after="240"/>
        <w:ind w:left="0" w:right="0" w:firstLine="360"/>
        <w:jc w:val="left"/>
        <w:rPr/>
      </w:pPr>
      <w:r>
        <w:rPr>
          <w:rFonts w:ascii="Times New Roman;serif" w:hAnsi="Times New Roman;serif"/>
          <w:b w:val="false"/>
          <w:color w:val="000000"/>
          <w:sz w:val="20"/>
        </w:rPr>
        <w:t>Net earnings per diluted share was $3.25 in the Second Quarter of Fiscal 2026 compared to $1.12 in the Second Quarter of Fiscal 2025 reflecting (1) higher gross margin</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(2) increased royalties and other operating income and (3) a lower effective tax rate. These increases were partially offset by (1) decreased net sales and (2) increased SG&amp;A.</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EBITDA</w:t>
      </w:r>
    </w:p>
    <w:tbl>
      <w:tblPr>
        <w:tblW w:w="8618" w:type="dxa"/>
        <w:jc w:val="left"/>
        <w:tblInd w:w="0" w:type="dxa"/>
        <w:tblLayout w:type="fixed"/>
        <w:tblCellMar>
          <w:top w:w="28" w:type="dxa"/>
          <w:left w:w="28" w:type="dxa"/>
          <w:bottom w:w="28" w:type="dxa"/>
          <w:right w:w="28" w:type="dxa"/>
        </w:tblCellMar>
      </w:tblPr>
      <w:tblGrid>
        <w:gridCol w:w="1097"/>
        <w:gridCol w:w="965"/>
        <w:gridCol w:w="968"/>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307"/>
        <w:gridCol w:w="309"/>
        <w:gridCol w:w="544"/>
      </w:tblGrid>
      <w:tr>
        <w:trPr/>
        <w:tc>
          <w:tcPr>
            <w:tcW w:w="109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Tommy Bahama Segment EBITDA</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51,276 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34,316 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16,960 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Lilly Pulitzer Segment EBITDA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5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Johnny Was Segment EBITDA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830.8 </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Brands Segment EBITDA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5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EBITDA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(6,187)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86,014 </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41,996 </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44,018 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54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EBITDA as a % of net sales</w:t>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EBITDA was $86 million in the Second Quarter of Fiscal 2026 compared to $42 million in the Second Quarter of Fiscal 2025. </w:t>
      </w:r>
      <w:r>
        <w:rPr>
          <w:rFonts w:ascii="Times New Roman;serif" w:hAnsi="Times New Roman;serif"/>
          <w:b w:val="false"/>
          <w:color w:val="000000"/>
          <w:sz w:val="20"/>
          <w:shd w:fill="FFFFFF" w:val="clear"/>
        </w:rPr>
        <w:t>The increased EBITDA was primarily due to higher segment EBITDA in all operating segments and in Corporate and Other. Changes in segment EBITDA by reportable segment and Corporate and Other are discussed below.</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Tommy Bahama:</w:t>
      </w:r>
    </w:p>
    <w:tbl>
      <w:tblPr>
        <w:tblW w:w="8242" w:type="dxa"/>
        <w:jc w:val="left"/>
        <w:tblInd w:w="0" w:type="dxa"/>
        <w:tblLayout w:type="fixed"/>
        <w:tblCellMar>
          <w:top w:w="28" w:type="dxa"/>
          <w:left w:w="28" w:type="dxa"/>
          <w:bottom w:w="28" w:type="dxa"/>
          <w:right w:w="28" w:type="dxa"/>
        </w:tblCellMar>
      </w:tblPr>
      <w:tblGrid>
        <w:gridCol w:w="1066"/>
        <w:gridCol w:w="930"/>
        <w:gridCol w:w="943"/>
        <w:gridCol w:w="332"/>
        <w:gridCol w:w="224"/>
        <w:gridCol w:w="557"/>
        <w:gridCol w:w="109"/>
        <w:gridCol w:w="109"/>
        <w:gridCol w:w="109"/>
        <w:gridCol w:w="332"/>
        <w:gridCol w:w="224"/>
        <w:gridCol w:w="557"/>
        <w:gridCol w:w="109"/>
        <w:gridCol w:w="109"/>
        <w:gridCol w:w="109"/>
        <w:gridCol w:w="211"/>
        <w:gridCol w:w="721"/>
        <w:gridCol w:w="109"/>
        <w:gridCol w:w="109"/>
        <w:gridCol w:w="109"/>
        <w:gridCol w:w="109"/>
        <w:gridCol w:w="255"/>
        <w:gridCol w:w="256"/>
        <w:gridCol w:w="544"/>
      </w:tblGrid>
      <w:tr>
        <w:trPr/>
        <w:tc>
          <w:tcPr>
            <w:tcW w:w="106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138,951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54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5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5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EBITDA</w:t>
            </w:r>
          </w:p>
        </w:tc>
        <w:tc>
          <w:tcPr>
            <w:tcW w:w="3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54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EBITDA as % of net sales</w:t>
            </w:r>
          </w:p>
        </w:tc>
        <w:tc>
          <w:tcPr>
            <w:tcW w:w="556" w:type="dxa"/>
            <w:gridSpan w:val="2"/>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557" w:type="dxa"/>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557" w:type="dxa"/>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increased segment EBITDA for Tommy Bahama was due to (1) higher gross margin and (2) increased net sales. These increases were partially offset by increased SG&amp;A. The increased SG&amp;A was primarily due to (1) $3 million associated with new brick and mortar retail and food and beverage locations, (2) a $2 million increase in advertising costs, (3) a $1 million increase in occupancy costs and (4) a $1 million increase in consulting and professional services related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Lilly Pulitzer:</w:t>
      </w:r>
    </w:p>
    <w:tbl>
      <w:tblPr>
        <w:tblW w:w="8002" w:type="dxa"/>
        <w:jc w:val="left"/>
        <w:tblInd w:w="0" w:type="dxa"/>
        <w:tblLayout w:type="fixed"/>
        <w:tblCellMar>
          <w:top w:w="28" w:type="dxa"/>
          <w:left w:w="28" w:type="dxa"/>
          <w:bottom w:w="28" w:type="dxa"/>
          <w:right w:w="28" w:type="dxa"/>
        </w:tblCellMar>
      </w:tblPr>
      <w:tblGrid>
        <w:gridCol w:w="1066"/>
        <w:gridCol w:w="930"/>
        <w:gridCol w:w="943"/>
        <w:gridCol w:w="332"/>
        <w:gridCol w:w="193"/>
        <w:gridCol w:w="483"/>
        <w:gridCol w:w="109"/>
        <w:gridCol w:w="109"/>
        <w:gridCol w:w="109"/>
        <w:gridCol w:w="332"/>
        <w:gridCol w:w="193"/>
        <w:gridCol w:w="483"/>
        <w:gridCol w:w="109"/>
        <w:gridCol w:w="109"/>
        <w:gridCol w:w="109"/>
        <w:gridCol w:w="211"/>
        <w:gridCol w:w="691"/>
        <w:gridCol w:w="109"/>
        <w:gridCol w:w="109"/>
        <w:gridCol w:w="109"/>
        <w:gridCol w:w="109"/>
        <w:gridCol w:w="254"/>
        <w:gridCol w:w="257"/>
        <w:gridCol w:w="544"/>
      </w:tblGrid>
      <w:tr>
        <w:trPr/>
        <w:tc>
          <w:tcPr>
            <w:tcW w:w="106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54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EBITDA</w:t>
            </w:r>
          </w:p>
        </w:tc>
        <w:tc>
          <w:tcPr>
            <w:tcW w:w="3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54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EBITDA as % of net sales</w:t>
            </w:r>
          </w:p>
        </w:tc>
        <w:tc>
          <w:tcPr>
            <w:tcW w:w="525" w:type="dxa"/>
            <w:gridSpan w:val="2"/>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483" w:type="dxa"/>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483" w:type="dxa"/>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increased segment EBITDA for Lilly Pulitzer was primarily due to higher gross margin. This increase was partially offset by (1) decreased net sales and (2) increased SG&amp;A. The increased SG&amp;A was primarily due to a $1 million increase in software related costs.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Johnny Was:</w:t>
      </w:r>
    </w:p>
    <w:tbl>
      <w:tblPr>
        <w:tblW w:w="8203" w:type="dxa"/>
        <w:jc w:val="left"/>
        <w:tblInd w:w="0" w:type="dxa"/>
        <w:tblLayout w:type="fixed"/>
        <w:tblCellMar>
          <w:top w:w="28" w:type="dxa"/>
          <w:left w:w="28" w:type="dxa"/>
          <w:bottom w:w="28" w:type="dxa"/>
          <w:right w:w="28" w:type="dxa"/>
        </w:tblCellMar>
      </w:tblPr>
      <w:tblGrid>
        <w:gridCol w:w="1066"/>
        <w:gridCol w:w="930"/>
        <w:gridCol w:w="94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307"/>
        <w:gridCol w:w="309"/>
        <w:gridCol w:w="544"/>
      </w:tblGrid>
      <w:tr>
        <w:trPr/>
        <w:tc>
          <w:tcPr>
            <w:tcW w:w="106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41,404 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45,415 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5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830.8 </w:t>
            </w:r>
          </w:p>
        </w:tc>
        <w:tc>
          <w:tcPr>
            <w:tcW w:w="5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EBITDA as % of net sales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increased segment EBITDA for Johnny Was was primarily due to (1) higher gross margin and (2) decreased SG&amp;A. These increases were partially offset by decreased net sales. The decreased SG&amp;A was primarily due to a $2 million decrease in advertising costs.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Emerging Brands:</w:t>
      </w:r>
    </w:p>
    <w:tbl>
      <w:tblPr>
        <w:tblW w:w="8068" w:type="dxa"/>
        <w:jc w:val="left"/>
        <w:tblInd w:w="0" w:type="dxa"/>
        <w:tblLayout w:type="fixed"/>
        <w:tblCellMar>
          <w:top w:w="28" w:type="dxa"/>
          <w:left w:w="28" w:type="dxa"/>
          <w:bottom w:w="28" w:type="dxa"/>
          <w:right w:w="28" w:type="dxa"/>
        </w:tblCellMar>
      </w:tblPr>
      <w:tblGrid>
        <w:gridCol w:w="1066"/>
        <w:gridCol w:w="930"/>
        <w:gridCol w:w="943"/>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54"/>
        <w:gridCol w:w="257"/>
        <w:gridCol w:w="544"/>
      </w:tblGrid>
      <w:tr>
        <w:trPr/>
        <w:tc>
          <w:tcPr>
            <w:tcW w:w="106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37,086 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38,530 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5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EBITDA as % of net sales</w:t>
            </w:r>
          </w:p>
        </w:tc>
        <w:tc>
          <w:tcPr>
            <w:tcW w:w="1041"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increased segment EBITDA for Emerging Brands was primarily due to higher gross margin. This increase was partially offset by (1) decreased net sales and (2) increased SG&amp;A. The increased SG&amp;A was primarily due to $1 million of Southern Tide store closure related charges.</w:t>
      </w:r>
    </w:p>
    <w:p>
      <w:pPr>
        <w:pStyle w:val="TextBody"/>
        <w:bidi w:val="0"/>
        <w:spacing w:lineRule="auto" w:line="288"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Corporate and Other:</w:t>
      </w:r>
    </w:p>
    <w:tbl>
      <w:tblPr>
        <w:tblW w:w="6639" w:type="dxa"/>
        <w:jc w:val="left"/>
        <w:tblInd w:w="0" w:type="dxa"/>
        <w:tblLayout w:type="fixed"/>
        <w:tblCellMar>
          <w:top w:w="28" w:type="dxa"/>
          <w:left w:w="28" w:type="dxa"/>
          <w:bottom w:w="28" w:type="dxa"/>
          <w:right w:w="28" w:type="dxa"/>
        </w:tblCellMar>
      </w:tblPr>
      <w:tblGrid>
        <w:gridCol w:w="609"/>
        <w:gridCol w:w="532"/>
        <w:gridCol w:w="538"/>
        <w:gridCol w:w="211"/>
        <w:gridCol w:w="691"/>
        <w:gridCol w:w="109"/>
        <w:gridCol w:w="109"/>
        <w:gridCol w:w="109"/>
        <w:gridCol w:w="109"/>
        <w:gridCol w:w="211"/>
        <w:gridCol w:w="796"/>
        <w:gridCol w:w="109"/>
        <w:gridCol w:w="109"/>
        <w:gridCol w:w="109"/>
        <w:gridCol w:w="109"/>
        <w:gridCol w:w="211"/>
        <w:gridCol w:w="616"/>
        <w:gridCol w:w="109"/>
        <w:gridCol w:w="109"/>
        <w:gridCol w:w="109"/>
        <w:gridCol w:w="109"/>
        <w:gridCol w:w="268"/>
        <w:gridCol w:w="268"/>
        <w:gridCol w:w="380"/>
      </w:tblGrid>
      <w:tr>
        <w:trPr/>
        <w:tc>
          <w:tcPr>
            <w:tcW w:w="6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Corporate and Other EBITDA increased primarily due to (1) decreased SG&amp;A and (2) a lower LIFO accounting charge. The decreased SG&amp;A was primarily due to (1) a $3 million decrease in employment costs primarily driven by decreased incentive compensation and (2) a $2 million decrease in consulting and professional services 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ind w:left="0" w:right="0" w:firstLine="360"/>
        <w:jc w:val="center"/>
        <w:rPr>
          <w:rFonts w:ascii="Times New Roman;serif" w:hAnsi="Times New Roman;serif"/>
          <w:b/>
          <w:color w:val="000000"/>
          <w:sz w:val="20"/>
        </w:rPr>
      </w:pPr>
      <w:r>
        <w:rPr>
          <w:rFonts w:ascii="Times New Roman;serif" w:hAnsi="Times New Roman;serif"/>
          <w:b/>
          <w:color w:val="000000"/>
          <w:sz w:val="20"/>
        </w:rPr>
        <w:t>FIRST HALF OF FISCAL 2026 COMPARED TO FIRST HALF OF FISCAL 2025</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discussion and tables below compare our statements of operations for the First Half of Fiscal 2026 to the First Half of Fiscal 2025. Each dollar and percentage change provided reflects the change between these fiscal periods unless indicated otherwise. Each dollar and share amount included in the tables is in thousands except for per share amounts. We have calculated all percentages based on actual data, and percentage columns in tables may not add due to rounding. Individual line items of our consolidated statements of operations, including gross profit, may not be directly comparable to those of our competitors, as classification of certain expenses may vary by company.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specified line items in our unaudited condensed consolidated statements of operations both in dollars (in thousands) and as a percentage of net sales as well as the dollar change and the percentage change as compared to the same period of the prior year. The table also includes net earnings per diluted share and diluted weighted average shares outstanding (in thousands), as well as the change and the percentage change for each of these items as compared to the same period of the prior year.</w:t>
      </w:r>
    </w:p>
    <w:tbl>
      <w:tblPr>
        <w:tblW w:w="10205" w:type="dxa"/>
        <w:jc w:val="left"/>
        <w:tblInd w:w="0" w:type="dxa"/>
        <w:tblLayout w:type="fixed"/>
        <w:tblCellMar>
          <w:top w:w="28" w:type="dxa"/>
          <w:left w:w="28" w:type="dxa"/>
          <w:bottom w:w="28" w:type="dxa"/>
          <w:right w:w="28" w:type="dxa"/>
        </w:tblCellMar>
      </w:tblPr>
      <w:tblGrid>
        <w:gridCol w:w="963"/>
        <w:gridCol w:w="786"/>
        <w:gridCol w:w="664"/>
        <w:gridCol w:w="211"/>
        <w:gridCol w:w="826"/>
        <w:gridCol w:w="109"/>
        <w:gridCol w:w="109"/>
        <w:gridCol w:w="109"/>
        <w:gridCol w:w="109"/>
        <w:gridCol w:w="285"/>
        <w:gridCol w:w="286"/>
        <w:gridCol w:w="271"/>
        <w:gridCol w:w="109"/>
        <w:gridCol w:w="109"/>
        <w:gridCol w:w="109"/>
        <w:gridCol w:w="211"/>
        <w:gridCol w:w="826"/>
        <w:gridCol w:w="109"/>
        <w:gridCol w:w="109"/>
        <w:gridCol w:w="109"/>
        <w:gridCol w:w="109"/>
        <w:gridCol w:w="285"/>
        <w:gridCol w:w="286"/>
        <w:gridCol w:w="271"/>
        <w:gridCol w:w="109"/>
        <w:gridCol w:w="109"/>
        <w:gridCol w:w="109"/>
        <w:gridCol w:w="211"/>
        <w:gridCol w:w="763"/>
        <w:gridCol w:w="109"/>
        <w:gridCol w:w="109"/>
        <w:gridCol w:w="109"/>
        <w:gridCol w:w="109"/>
        <w:gridCol w:w="275"/>
        <w:gridCol w:w="277"/>
        <w:gridCol w:w="546"/>
      </w:tblGrid>
      <w:tr>
        <w:trPr/>
        <w:tc>
          <w:tcPr>
            <w:tcW w:w="96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21"/>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785,778 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796,004 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(10,226)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5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535,012 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499,911 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35,101 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456,736 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448,289 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other 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5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91,179 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61,617 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29,562 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5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5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Earnings before income taxes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87,408 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58,343 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29,065 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5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5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63,955 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42,873 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21,082 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5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earnings per diluted share</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5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14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5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proportion of our consolidated net sales by distribution channel for each period presented. We have calculated all percentages below on actual data, and percentages may not add to 100 due to rounding. </w:t>
      </w:r>
    </w:p>
    <w:tbl>
      <w:tblPr>
        <w:tblW w:w="3926" w:type="dxa"/>
        <w:jc w:val="left"/>
        <w:tblInd w:w="0" w:type="dxa"/>
        <w:tblLayout w:type="fixed"/>
        <w:tblCellMar>
          <w:top w:w="28" w:type="dxa"/>
          <w:left w:w="28" w:type="dxa"/>
          <w:bottom w:w="28" w:type="dxa"/>
          <w:right w:w="28" w:type="dxa"/>
        </w:tblCellMar>
      </w:tblPr>
      <w:tblGrid>
        <w:gridCol w:w="613"/>
        <w:gridCol w:w="539"/>
        <w:gridCol w:w="543"/>
        <w:gridCol w:w="309"/>
        <w:gridCol w:w="309"/>
        <w:gridCol w:w="311"/>
        <w:gridCol w:w="109"/>
        <w:gridCol w:w="109"/>
        <w:gridCol w:w="109"/>
        <w:gridCol w:w="285"/>
        <w:gridCol w:w="285"/>
        <w:gridCol w:w="405"/>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92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16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E-commerce</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6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29"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Net Sales</w:t>
      </w:r>
    </w:p>
    <w:tbl>
      <w:tblPr>
        <w:tblW w:w="7497" w:type="dxa"/>
        <w:jc w:val="left"/>
        <w:tblInd w:w="0" w:type="dxa"/>
        <w:tblLayout w:type="fixed"/>
        <w:tblCellMar>
          <w:top w:w="28" w:type="dxa"/>
          <w:left w:w="28" w:type="dxa"/>
          <w:bottom w:w="28" w:type="dxa"/>
          <w:right w:w="28" w:type="dxa"/>
        </w:tblCellMar>
      </w:tblPr>
      <w:tblGrid>
        <w:gridCol w:w="717"/>
        <w:gridCol w:w="628"/>
        <w:gridCol w:w="634"/>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91"/>
        <w:gridCol w:w="294"/>
        <w:gridCol w:w="544"/>
      </w:tblGrid>
      <w:tr>
        <w:trPr/>
        <w:tc>
          <w:tcPr>
            <w:tcW w:w="7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 Change</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Tommy Bahama</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455,578 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445,178 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Lilly Pulitzer</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54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Johnny Was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Brands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4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 %</w:t>
            </w:r>
          </w:p>
        </w:tc>
      </w:tr>
      <w:tr>
        <w:trPr/>
        <w:tc>
          <w:tcPr>
            <w:tcW w:w="19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net sales</w:t>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785,778 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796,004 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(10,226)</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44"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360"/>
        <w:jc w:val="both"/>
        <w:rPr/>
      </w:pPr>
      <w:r>
        <w:rPr>
          <w:rFonts w:ascii="Times New Roman;serif" w:hAnsi="Times New Roman;serif"/>
          <w:b w:val="false"/>
          <w:color w:val="000000"/>
          <w:sz w:val="20"/>
        </w:rPr>
        <w:t>Consolidated net sales were $786 million</w:t>
      </w:r>
      <w:r>
        <w:rPr>
          <w:color w:val="000000"/>
        </w:rPr>
        <w:t xml:space="preserve"> </w:t>
      </w:r>
      <w:r>
        <w:rPr>
          <w:rFonts w:ascii="Times New Roman;serif" w:hAnsi="Times New Roman;serif"/>
          <w:b w:val="false"/>
          <w:color w:val="000000"/>
          <w:sz w:val="20"/>
        </w:rPr>
        <w:t>in the First Half of Fiscal 2026 compared to net sales of $796 million</w:t>
      </w:r>
      <w:r>
        <w:rPr>
          <w:color w:val="000000"/>
        </w:rPr>
        <w:t xml:space="preserve"> </w:t>
      </w:r>
      <w:r>
        <w:rPr>
          <w:rFonts w:ascii="Times New Roman;serif" w:hAnsi="Times New Roman;serif"/>
          <w:b w:val="false"/>
          <w:color w:val="000000"/>
          <w:sz w:val="20"/>
        </w:rPr>
        <w:t>in the First Half of Fiscal 2025. The decrease in net sales included decreased sales in Lilly Pulitzer and Johnny Was. These decreases were partially offset by increased sales in Tommy Bahama and Emerging Brands.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changes in net sales by distribution channel consisted of the following: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decrease in wholesale sales of $13 million, or 8%, including (1) a $6 million decrease in Tommy Bahama, (2) a $5 million decrease in Johnny Was and (3) a $1 million decrease in Lilly Pulitzer. Emerging Brands wholesale sales in the First Half of Fiscal 2026 were comparable to the First Half of Fiscal 2025;</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decrease in full-price retail sales of $3 million, or 1%, including (1) a $4 million decrease in Lilly Pulitzer, (2) a $3 million decrease in Johnny Was and (3) a $1 million decrease in Emerging Brands. These decreases were partially offset by a $5 million increase in Tommy Bahama;</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decrease in e-commerce sales of $2 million, or 1%, including (1) an $8 million decrease in Lilly Pulitzer and (2) a $2 million decrease in Johnny Was. These decreases were partially offset by (1) a $5 million increase in Emerging Brands and (2) a $4 million increase in Tommy Bahama;</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increase in food and beverage sales of $8 million, or 12%;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outlet sales in the First Half of Fiscal 2026 were comparable to the First Half of Fiscal 2025.</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Tommy Bahama: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Tommy Bahama net sales increased $10 million, or 2%, in the First Half of Fiscal 2026, with an increase in (1) food and beverage sales of $8 million, or 12%, (2) full-price retail sales of $5 million, or 3%, and (3) e-commerce sales of $4 million, or 4%. These increases were partially offset by a decrease in wholesale sales of $6 million, or 9%. Outlet sales in the First Half of Fiscal 2026 were comparable to the First Half of Fiscal 2025. The following table presents the proportion of net sales by distribution channel for Tommy Bahama for each period presented:</w:t>
      </w:r>
    </w:p>
    <w:tbl>
      <w:tblPr>
        <w:tblW w:w="3926" w:type="dxa"/>
        <w:jc w:val="left"/>
        <w:tblInd w:w="0" w:type="dxa"/>
        <w:tblLayout w:type="fixed"/>
        <w:tblCellMar>
          <w:top w:w="28" w:type="dxa"/>
          <w:left w:w="28" w:type="dxa"/>
          <w:bottom w:w="28" w:type="dxa"/>
          <w:right w:w="28" w:type="dxa"/>
        </w:tblCellMar>
      </w:tblPr>
      <w:tblGrid>
        <w:gridCol w:w="613"/>
        <w:gridCol w:w="539"/>
        <w:gridCol w:w="543"/>
        <w:gridCol w:w="309"/>
        <w:gridCol w:w="309"/>
        <w:gridCol w:w="311"/>
        <w:gridCol w:w="109"/>
        <w:gridCol w:w="109"/>
        <w:gridCol w:w="109"/>
        <w:gridCol w:w="285"/>
        <w:gridCol w:w="285"/>
        <w:gridCol w:w="405"/>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92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16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E-commerce</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6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29"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Lilly Pulitzer: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Lilly Pulitzer net sales decreased $14 million, or 7%, in the First Half of Fiscal 2026, with a decrease in (1) e-commerce sales of $8 million, or 10%, (2) retail sales of $4 million, or 6%, and (3) wholesale sales of $1 million, or 4%. The following table presents the proportion of net sales by distribution channel for Lilly Pulitzer for each period presented:</w:t>
      </w:r>
    </w:p>
    <w:tbl>
      <w:tblPr>
        <w:tblW w:w="3357" w:type="dxa"/>
        <w:jc w:val="center"/>
        <w:tblInd w:w="0" w:type="dxa"/>
        <w:tblLayout w:type="fixed"/>
        <w:tblCellMar>
          <w:top w:w="28" w:type="dxa"/>
          <w:left w:w="28" w:type="dxa"/>
          <w:bottom w:w="28" w:type="dxa"/>
          <w:right w:w="28" w:type="dxa"/>
        </w:tblCellMar>
      </w:tblPr>
      <w:tblGrid>
        <w:gridCol w:w="407"/>
        <w:gridCol w:w="358"/>
        <w:gridCol w:w="361"/>
        <w:gridCol w:w="309"/>
        <w:gridCol w:w="309"/>
        <w:gridCol w:w="311"/>
        <w:gridCol w:w="109"/>
        <w:gridCol w:w="109"/>
        <w:gridCol w:w="109"/>
        <w:gridCol w:w="285"/>
        <w:gridCol w:w="285"/>
        <w:gridCol w:w="405"/>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92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E-commerce</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29"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Johnny Was: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Johnny Was net sales decreased $10 million, or 11%, in the First Half of Fiscal 2026, with a decrease in (1) wholesale sales of $5 million, or 28%, (2) full-price retail sales of $3 million, or 10%, and (3) e-commerce sales of $2 million, or 5%. Outlet sales in the First Half of Fiscal 2026 were comparable to the First Half of Fiscal 2025. The following table presents the proportion of net sales by distribution channel for Johnny Was for each period presented:</w:t>
      </w:r>
    </w:p>
    <w:tbl>
      <w:tblPr>
        <w:tblW w:w="3357" w:type="dxa"/>
        <w:jc w:val="left"/>
        <w:tblInd w:w="0" w:type="dxa"/>
        <w:tblLayout w:type="fixed"/>
        <w:tblCellMar>
          <w:top w:w="28" w:type="dxa"/>
          <w:left w:w="28" w:type="dxa"/>
          <w:bottom w:w="28" w:type="dxa"/>
          <w:right w:w="28" w:type="dxa"/>
        </w:tblCellMar>
      </w:tblPr>
      <w:tblGrid>
        <w:gridCol w:w="407"/>
        <w:gridCol w:w="358"/>
        <w:gridCol w:w="361"/>
        <w:gridCol w:w="309"/>
        <w:gridCol w:w="309"/>
        <w:gridCol w:w="311"/>
        <w:gridCol w:w="109"/>
        <w:gridCol w:w="109"/>
        <w:gridCol w:w="109"/>
        <w:gridCol w:w="285"/>
        <w:gridCol w:w="285"/>
        <w:gridCol w:w="405"/>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92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E-commerce</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29"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Emerging Brands: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Emerging Brands net sales increased $3 million, or 4%, in the First Half of Fiscal 2026 including increases in Duck Head, Jack Rogers and TBBC partially offset by a decrease in Southern Tide. By distribution channel, the increase in net sales in Emerging Brands included an increase in e-commerce sales of $5 million, or 14%. This increase was partially offset by a decrease in retail sales of $1 million, or 10%. Wholesale sales in the First Half of Fiscal 2026 were comparable to the First Half of Fiscal 2025. The following table presents the proportion of net sales by distribution channel for Emerging Brands for each period presented:</w:t>
      </w:r>
    </w:p>
    <w:tbl>
      <w:tblPr>
        <w:tblW w:w="3357" w:type="dxa"/>
        <w:jc w:val="left"/>
        <w:tblInd w:w="0" w:type="dxa"/>
        <w:tblLayout w:type="fixed"/>
        <w:tblCellMar>
          <w:top w:w="28" w:type="dxa"/>
          <w:left w:w="28" w:type="dxa"/>
          <w:bottom w:w="28" w:type="dxa"/>
          <w:right w:w="28" w:type="dxa"/>
        </w:tblCellMar>
      </w:tblPr>
      <w:tblGrid>
        <w:gridCol w:w="407"/>
        <w:gridCol w:w="358"/>
        <w:gridCol w:w="361"/>
        <w:gridCol w:w="309"/>
        <w:gridCol w:w="309"/>
        <w:gridCol w:w="311"/>
        <w:gridCol w:w="109"/>
        <w:gridCol w:w="109"/>
        <w:gridCol w:w="109"/>
        <w:gridCol w:w="285"/>
        <w:gridCol w:w="285"/>
        <w:gridCol w:w="405"/>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92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E-commerce</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29"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Corporate and Other: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Corporate and Other net sales primarily consist of the elimination of any sales between operating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tables below present gross profit by reportable segment and Corporate and Other and in total for the First Half of Fiscal 2026 and the First Half of Fiscal 2025, as well as the dollar change and percentage change between those two periods, and gross margin by reportable segment and Corporate and Other and in total. Our gross profit and gross margin, which is calculated as gross profit divided by net sales, may not be directly comparable to those of our competitors, as the statement of operations classification of certain expenses may vary by company.</w:t>
      </w:r>
    </w:p>
    <w:tbl>
      <w:tblPr>
        <w:tblW w:w="7619" w:type="dxa"/>
        <w:jc w:val="left"/>
        <w:tblInd w:w="0" w:type="dxa"/>
        <w:tblLayout w:type="fixed"/>
        <w:tblCellMar>
          <w:top w:w="28" w:type="dxa"/>
          <w:left w:w="28" w:type="dxa"/>
          <w:bottom w:w="28" w:type="dxa"/>
          <w:right w:w="28" w:type="dxa"/>
        </w:tblCellMar>
      </w:tblPr>
      <w:tblGrid>
        <w:gridCol w:w="815"/>
        <w:gridCol w:w="714"/>
        <w:gridCol w:w="721"/>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44"/>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Tommy Bahama</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309,949 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278,676 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31,273 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Lilly Pulitzer</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121,768 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123,922 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4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Johnny Was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Brands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4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 %</w:t>
            </w:r>
          </w:p>
        </w:tc>
      </w:tr>
      <w:tr>
        <w:trPr/>
        <w:tc>
          <w:tcPr>
            <w:tcW w:w="22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gross profit</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535,012 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499,911 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35,101 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4631" w:type="dxa"/>
        <w:jc w:val="left"/>
        <w:tblInd w:w="0" w:type="dxa"/>
        <w:tblLayout w:type="fixed"/>
        <w:tblCellMar>
          <w:top w:w="28" w:type="dxa"/>
          <w:left w:w="28" w:type="dxa"/>
          <w:bottom w:w="28" w:type="dxa"/>
          <w:right w:w="28" w:type="dxa"/>
        </w:tblCellMar>
      </w:tblPr>
      <w:tblGrid>
        <w:gridCol w:w="869"/>
        <w:gridCol w:w="762"/>
        <w:gridCol w:w="769"/>
        <w:gridCol w:w="309"/>
        <w:gridCol w:w="309"/>
        <w:gridCol w:w="311"/>
        <w:gridCol w:w="109"/>
        <w:gridCol w:w="109"/>
        <w:gridCol w:w="109"/>
        <w:gridCol w:w="285"/>
        <w:gridCol w:w="285"/>
        <w:gridCol w:w="405"/>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Tommy Bahama</w:t>
            </w:r>
          </w:p>
        </w:tc>
        <w:tc>
          <w:tcPr>
            <w:tcW w:w="92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Lilly Pulitzer</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Johnny Was</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Brands</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gross margin</w:t>
            </w:r>
          </w:p>
        </w:tc>
        <w:tc>
          <w:tcPr>
            <w:tcW w:w="929"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increased gross profit was due to increased consolidated gross margin partially offset by decreased sales. The increased gross margin was primarily due to (1) the favorable impact of recognizing $42 million of tariff refund claims as a reduction of cost of goods sold, (2) updated assortment, sourcing and pricing strategies across our portfolio that resulted in higher IMUs and (3) a change in sales mix with off-price wholesale sales representing a lower proportion of net sales. These factors were partially offset by (1) approximately $10 million of increased cost of goods sold from additional tariffs implemented starting in Fiscal 2025, (2) a change in sales mix with a higher proportion of net sales occurring during promotional events at Tommy Bahama, Lilly Pulitzer and Emerging Brands and (3) a $3 million higher LIFO accounting charge in the First Half of Fiscal 2026 compared to the First Half of Fiscal 2025.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Tommy Bahama:</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higher gross margin for Tommy Bahama was primarily due to (1) the favorable impact of tariff refund claims recognized as a reduction of cost of goods sold, (2) updated assortment, sourcing and pricing strategies that resulted in higher IMUs and (3) a change in sales mix with off-price wholesale sales representing a lower proportion of net sales. These factors were partially offset by (1) increased cost of goods sold from additional tariffs implemented starting in Fiscal 2025 and (2) a change in sales mix with a higher proportion of net sales occurring during promotional events, including loyalty award cards, end of season clearance events and the semi-annual Friends &amp; Family event.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Lilly Pulitzer: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higher gross margin for Lilly Pulitzer was primarily due to (1) the favorable impact of tariff refund claims recognized as a reduction of cost of goods sold, (2) updated assortment, sourcing and pricing strategies that resulted in higher IMUs and (3) a change in sales mix with off-price wholesale sales representing a lower proportion of net sales. These factors were partially offset by (1) increased cost of goods sold from additional tariffs implemented starting in Fiscal 2025, (2) a change in sales mix with e-commerce flash sales representing a higher proportion of net sales and (3) more significant markdowns during e-commerce flash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Johnny Was: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higher gross margin for Johnny Was was primarily due to (1) the favorable impact of tariff refund claims recognized as a reduction of cost of goods sold, (2) a revised promotional strategy to have fewer promotional events than in previous periods, (3) updated assortment, sourcing and pricing strategies that resulted in higher IMUs and (4) a change in sales mix with off-price wholesale sales representing a lower proportion of net sales.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Emerging Brands: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higher gross margin for Emerging Brands was primarily due to (1) the favorable impact of tariff refund claims recognized as a reduction of cost of goods sold and (2) a change in sales mix with e-commerce sales representing a higher proportion of net sales. These factors were partially offset by (1) increased cost of goods sold from additional tariffs implemented starting in Fiscal 2025, (2) a change in sales mix with a higher proportion of net sales occurring during promotional events and (3) more significant markdowns during promotional events.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Corporate and Other: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gross profit in Corporate and Other primarily reflects the impact of LIFO accounting adjustments that resulted in a $3 million higher charge in the First Half of Fiscal 2026 than in the First Half of Fiscal 2025.</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SG&amp;A</w:t>
      </w:r>
    </w:p>
    <w:tbl>
      <w:tblPr>
        <w:tblW w:w="7095" w:type="dxa"/>
        <w:jc w:val="left"/>
        <w:tblInd w:w="0" w:type="dxa"/>
        <w:tblLayout w:type="fixed"/>
        <w:tblCellMar>
          <w:top w:w="28" w:type="dxa"/>
          <w:left w:w="28" w:type="dxa"/>
          <w:bottom w:w="28" w:type="dxa"/>
          <w:right w:w="28" w:type="dxa"/>
        </w:tblCellMar>
      </w:tblPr>
      <w:tblGrid>
        <w:gridCol w:w="819"/>
        <w:gridCol w:w="717"/>
        <w:gridCol w:w="728"/>
        <w:gridCol w:w="233"/>
        <w:gridCol w:w="233"/>
        <w:gridCol w:w="516"/>
        <w:gridCol w:w="109"/>
        <w:gridCol w:w="109"/>
        <w:gridCol w:w="109"/>
        <w:gridCol w:w="233"/>
        <w:gridCol w:w="233"/>
        <w:gridCol w:w="516"/>
        <w:gridCol w:w="109"/>
        <w:gridCol w:w="109"/>
        <w:gridCol w:w="109"/>
        <w:gridCol w:w="211"/>
        <w:gridCol w:w="616"/>
        <w:gridCol w:w="109"/>
        <w:gridCol w:w="109"/>
        <w:gridCol w:w="109"/>
        <w:gridCol w:w="109"/>
        <w:gridCol w:w="203"/>
        <w:gridCol w:w="203"/>
        <w:gridCol w:w="544"/>
      </w:tblGrid>
      <w:tr>
        <w:trPr/>
        <w:tc>
          <w:tcPr>
            <w:tcW w:w="81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98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8,418 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SG&amp;A (as a % of net sales)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5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5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SG&amp;A was $423 million in the First Half of Fiscal 2026 compared to $415 million in the First Half of Fiscal 2025. The 2% increase in total SG&amp;A in the First Half of Fiscal 2026 included the following: </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$5 million increase in costs related to new brick and mortar retail and food and beverage locations;</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$3 million increase in software related costs;</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$3 million increase in variable and distribution costs primarily due to increased variable costs resulting from distribution related expenses associated with moving operations between our Lyons, Georgia distribution centers and temporarily operating two distribution centers during the transition to the newly constructed facility; and</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$2 million of store closure related charges.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increases were partially offset by: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$2 million decrease in incentive compensation;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$1 million decrease in travel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Depreciation and Amortization</w:t>
      </w:r>
    </w:p>
    <w:tbl>
      <w:tblPr>
        <w:tblW w:w="9348" w:type="dxa"/>
        <w:jc w:val="left"/>
        <w:tblInd w:w="0" w:type="dxa"/>
        <w:tblLayout w:type="fixed"/>
        <w:tblCellMar>
          <w:top w:w="28" w:type="dxa"/>
          <w:left w:w="28" w:type="dxa"/>
          <w:bottom w:w="28" w:type="dxa"/>
          <w:right w:w="28" w:type="dxa"/>
        </w:tblCellMar>
      </w:tblPr>
      <w:tblGrid>
        <w:gridCol w:w="1526"/>
        <w:gridCol w:w="1342"/>
        <w:gridCol w:w="1347"/>
        <w:gridCol w:w="211"/>
        <w:gridCol w:w="721"/>
        <w:gridCol w:w="271"/>
        <w:gridCol w:w="109"/>
        <w:gridCol w:w="109"/>
        <w:gridCol w:w="109"/>
        <w:gridCol w:w="211"/>
        <w:gridCol w:w="721"/>
        <w:gridCol w:w="271"/>
        <w:gridCol w:w="109"/>
        <w:gridCol w:w="109"/>
        <w:gridCol w:w="109"/>
        <w:gridCol w:w="246"/>
        <w:gridCol w:w="421"/>
        <w:gridCol w:w="129"/>
        <w:gridCol w:w="109"/>
        <w:gridCol w:w="109"/>
        <w:gridCol w:w="109"/>
        <w:gridCol w:w="203"/>
        <w:gridCol w:w="203"/>
        <w:gridCol w:w="54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33,578 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33,549 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(as a % of net sales)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7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7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Depreciation and amortization in the First Half of Fiscal 2026 was comparable to the First Half of Fiscal 2025.</w:t>
      </w:r>
    </w:p>
    <w:p>
      <w:pPr>
        <w:pStyle w:val="TextBody"/>
        <w:bidi w:val="0"/>
        <w:spacing w:lineRule="auto" w:line="288" w:before="24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Royalties and other operating income</w:t>
      </w:r>
    </w:p>
    <w:tbl>
      <w:tblPr>
        <w:tblW w:w="8128" w:type="dxa"/>
        <w:jc w:val="left"/>
        <w:tblInd w:w="0" w:type="dxa"/>
        <w:tblLayout w:type="fixed"/>
        <w:tblCellMar>
          <w:top w:w="28" w:type="dxa"/>
          <w:left w:w="28" w:type="dxa"/>
          <w:bottom w:w="28" w:type="dxa"/>
          <w:right w:w="28" w:type="dxa"/>
        </w:tblCellMar>
      </w:tblPr>
      <w:tblGrid>
        <w:gridCol w:w="1150"/>
        <w:gridCol w:w="1013"/>
        <w:gridCol w:w="1016"/>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55"/>
        <w:gridCol w:w="256"/>
        <w:gridCol w:w="54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other operating income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12,903 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360"/>
        <w:jc w:val="both"/>
        <w:rPr/>
      </w:pPr>
      <w:r>
        <w:rPr>
          <w:rFonts w:ascii="Times New Roman;serif" w:hAnsi="Times New Roman;serif"/>
          <w:b w:val="false"/>
          <w:color w:val="000000"/>
          <w:sz w:val="20"/>
          <w:shd w:fill="FFFFFF" w:val="clear"/>
        </w:rPr>
        <w:t>Royalties and other operating income typically consists primarily of income received from third parties from the licensing of our brands. The increased royalties and other operating income in the First Half of Fiscal 2026 was primarily due to increased royalty income in Tommy Bahama reflecting higher sales by our licensing partners. Also, in the First Half of Fiscal 2026, $1 million of interest was received related to tariff refunds.</w:t>
      </w:r>
      <w:r>
        <w:rPr>
          <w:color w:val="000000"/>
        </w:rPr>
        <w:t xml:space="preserve"> </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income</w:t>
      </w:r>
    </w:p>
    <w:tbl>
      <w:tblPr>
        <w:tblW w:w="8677" w:type="dxa"/>
        <w:jc w:val="left"/>
        <w:tblInd w:w="0" w:type="dxa"/>
        <w:tblLayout w:type="fixed"/>
        <w:tblCellMar>
          <w:top w:w="28" w:type="dxa"/>
          <w:left w:w="28" w:type="dxa"/>
          <w:bottom w:w="28" w:type="dxa"/>
          <w:right w:w="28" w:type="dxa"/>
        </w:tblCellMar>
      </w:tblPr>
      <w:tblGrid>
        <w:gridCol w:w="1156"/>
        <w:gridCol w:w="1016"/>
        <w:gridCol w:w="1022"/>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55"/>
        <w:gridCol w:w="256"/>
        <w:gridCol w:w="544"/>
      </w:tblGrid>
      <w:tr>
        <w:trPr/>
        <w:tc>
          <w:tcPr>
            <w:tcW w:w="115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91,179 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61,617 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29,562 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(as a % of net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Operating income was $91 million in the First Half of Fiscal 2026 compared to operating income of $62 million in the First Half of Fiscal 2025. The increased operating results were primarily due to (1) higher gross margin primarily from $42 million of tariff refunds recognized as a reduction of cost of goods sold and (2) increased royalties and other operating income. These increases were partially offset by (1) decreased net sales and (2) increased SG&amp;A.</w:t>
      </w:r>
    </w:p>
    <w:p>
      <w:pPr>
        <w:pStyle w:val="TextBody"/>
        <w:bidi w:val="0"/>
        <w:spacing w:before="0" w:after="0"/>
        <w:jc w:val="left"/>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expense, net</w:t>
      </w:r>
    </w:p>
    <w:tbl>
      <w:tblPr>
        <w:tblW w:w="6460" w:type="dxa"/>
        <w:jc w:val="left"/>
        <w:tblInd w:w="0" w:type="dxa"/>
        <w:tblLayout w:type="fixed"/>
        <w:tblCellMar>
          <w:top w:w="28" w:type="dxa"/>
          <w:left w:w="28" w:type="dxa"/>
          <w:bottom w:w="28" w:type="dxa"/>
          <w:right w:w="28" w:type="dxa"/>
        </w:tblCellMar>
      </w:tblPr>
      <w:tblGrid>
        <w:gridCol w:w="641"/>
        <w:gridCol w:w="563"/>
        <w:gridCol w:w="566"/>
        <w:gridCol w:w="309"/>
        <w:gridCol w:w="309"/>
        <w:gridCol w:w="311"/>
        <w:gridCol w:w="109"/>
        <w:gridCol w:w="109"/>
        <w:gridCol w:w="109"/>
        <w:gridCol w:w="309"/>
        <w:gridCol w:w="309"/>
        <w:gridCol w:w="311"/>
        <w:gridCol w:w="109"/>
        <w:gridCol w:w="109"/>
        <w:gridCol w:w="109"/>
        <w:gridCol w:w="213"/>
        <w:gridCol w:w="471"/>
        <w:gridCol w:w="112"/>
        <w:gridCol w:w="109"/>
        <w:gridCol w:w="109"/>
        <w:gridCol w:w="109"/>
        <w:gridCol w:w="255"/>
        <w:gridCol w:w="256"/>
        <w:gridCol w:w="54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6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3,771 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2"/>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360"/>
        <w:jc w:val="both"/>
        <w:rPr/>
      </w:pPr>
      <w:r>
        <w:rPr>
          <w:rFonts w:ascii="Times New Roman;serif" w:hAnsi="Times New Roman;serif"/>
          <w:b w:val="false"/>
          <w:color w:val="000000"/>
          <w:sz w:val="20"/>
          <w:shd w:fill="FFFFFF" w:val="clear"/>
        </w:rPr>
        <w:t xml:space="preserve">The increased interest expense, net in the </w:t>
      </w:r>
      <w:r>
        <w:rPr>
          <w:rFonts w:ascii="Times New Roman;serif" w:hAnsi="Times New Roman;serif"/>
          <w:b w:val="false"/>
          <w:color w:val="000000"/>
          <w:sz w:val="20"/>
        </w:rPr>
        <w:t>First Half of Fiscal 2026</w:t>
      </w:r>
      <w:r>
        <w:rPr>
          <w:color w:val="000000"/>
          <w:shd w:fill="FFFFFF" w:val="clear"/>
        </w:rPr>
        <w:t xml:space="preserve"> </w:t>
      </w:r>
      <w:r>
        <w:rPr>
          <w:rFonts w:ascii="Times New Roman;serif" w:hAnsi="Times New Roman;serif"/>
          <w:b w:val="false"/>
          <w:color w:val="000000"/>
          <w:sz w:val="20"/>
          <w:shd w:fill="FFFFFF" w:val="clear"/>
        </w:rPr>
        <w:t xml:space="preserve">was primarily due to a higher average outstanding debt balance during the </w:t>
      </w:r>
      <w:r>
        <w:rPr>
          <w:rFonts w:ascii="Times New Roman;serif" w:hAnsi="Times New Roman;serif"/>
          <w:b w:val="false"/>
          <w:color w:val="000000"/>
          <w:sz w:val="20"/>
        </w:rPr>
        <w:t>First Half of Fiscal 2026</w:t>
      </w:r>
      <w:r>
        <w:rPr>
          <w:color w:val="000000"/>
          <w:shd w:fill="FFFFFF" w:val="clear"/>
        </w:rPr>
        <w:t xml:space="preserve"> </w:t>
      </w:r>
      <w:r>
        <w:rPr>
          <w:rFonts w:ascii="Times New Roman;serif" w:hAnsi="Times New Roman;serif"/>
          <w:b w:val="false"/>
          <w:color w:val="000000"/>
          <w:sz w:val="20"/>
          <w:shd w:fill="FFFFFF" w:val="clear"/>
        </w:rPr>
        <w:t xml:space="preserve">than the </w:t>
      </w:r>
      <w:r>
        <w:rPr>
          <w:rFonts w:ascii="Times New Roman;serif" w:hAnsi="Times New Roman;serif"/>
          <w:b w:val="false"/>
          <w:color w:val="000000"/>
          <w:sz w:val="20"/>
        </w:rPr>
        <w:t>First Half of Fiscal 2025</w:t>
      </w:r>
      <w:r>
        <w:rPr>
          <w:rFonts w:ascii="Times New Roman;serif" w:hAnsi="Times New Roman;serif"/>
          <w:b w:val="false"/>
          <w:color w:val="000000"/>
          <w:sz w:val="20"/>
          <w:shd w:fill="FFFFFF" w:val="clear"/>
        </w:rPr>
        <w:t>.</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Income tax</w:t>
      </w:r>
    </w:p>
    <w:tbl>
      <w:tblPr>
        <w:tblW w:w="6661" w:type="dxa"/>
        <w:jc w:val="left"/>
        <w:tblInd w:w="0" w:type="dxa"/>
        <w:tblLayout w:type="fixed"/>
        <w:tblCellMar>
          <w:top w:w="28" w:type="dxa"/>
          <w:left w:w="28" w:type="dxa"/>
          <w:bottom w:w="28" w:type="dxa"/>
          <w:right w:w="28" w:type="dxa"/>
        </w:tblCellMar>
      </w:tblPr>
      <w:tblGrid>
        <w:gridCol w:w="625"/>
        <w:gridCol w:w="548"/>
        <w:gridCol w:w="552"/>
        <w:gridCol w:w="259"/>
        <w:gridCol w:w="207"/>
        <w:gridCol w:w="516"/>
        <w:gridCol w:w="109"/>
        <w:gridCol w:w="109"/>
        <w:gridCol w:w="109"/>
        <w:gridCol w:w="251"/>
        <w:gridCol w:w="215"/>
        <w:gridCol w:w="516"/>
        <w:gridCol w:w="109"/>
        <w:gridCol w:w="109"/>
        <w:gridCol w:w="109"/>
        <w:gridCol w:w="211"/>
        <w:gridCol w:w="616"/>
        <w:gridCol w:w="109"/>
        <w:gridCol w:w="109"/>
        <w:gridCol w:w="109"/>
        <w:gridCol w:w="109"/>
        <w:gridCol w:w="255"/>
        <w:gridCol w:w="256"/>
        <w:gridCol w:w="54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8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12"/>
              <w:jc w:val="right"/>
              <w:rPr>
                <w:rFonts w:ascii="Times New Roman;serif" w:hAnsi="Times New Roman;serif"/>
                <w:b w:val="false"/>
                <w:color w:val="000000"/>
                <w:sz w:val="20"/>
              </w:rPr>
            </w:pPr>
            <w:r>
              <w:rPr>
                <w:rFonts w:ascii="Times New Roman;serif" w:hAnsi="Times New Roman;serif"/>
                <w:b w:val="false"/>
                <w:color w:val="000000"/>
                <w:sz w:val="20"/>
              </w:rPr>
              <w:t>23,453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51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51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effective tax rate will vary from period to period from a typical annual effective tax rate of approximately 25% based on various factors including, but not limited to, the geographic mix of earnings, enacted tax legislation, state and local taxes, tax audit findings and settlements, and the interaction of various global tax strategies.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First Half of Fiscal 2026, our effective tax rate of 26.8% primarily reflected the unfavorable net discrete tax expense for shortfalls in stock-based compensation vesting during the First Half of Fiscal 2026.</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First Half of Fiscal 2025, our effective tax rate of 26.5% primarily reflected the unfavorable net discrete tax expense for shortfalls in stock-based compensation vesting during the First Half of Fiscal 2025. These unfavorable factors were partially offset by the benefit derived from a reduction in income tax expense as a result of the receipt of interest from a U.S. federal income tax receivable.</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Net earnings</w:t>
      </w:r>
    </w:p>
    <w:tbl>
      <w:tblPr>
        <w:tblW w:w="6290" w:type="dxa"/>
        <w:jc w:val="left"/>
        <w:tblInd w:w="0" w:type="dxa"/>
        <w:tblLayout w:type="fixed"/>
        <w:tblCellMar>
          <w:top w:w="28" w:type="dxa"/>
          <w:left w:w="28" w:type="dxa"/>
          <w:bottom w:w="28" w:type="dxa"/>
          <w:right w:w="28" w:type="dxa"/>
        </w:tblCellMar>
      </w:tblPr>
      <w:tblGrid>
        <w:gridCol w:w="1406"/>
        <w:gridCol w:w="1231"/>
        <w:gridCol w:w="1248"/>
        <w:gridCol w:w="236"/>
        <w:gridCol w:w="643"/>
        <w:gridCol w:w="138"/>
        <w:gridCol w:w="109"/>
        <w:gridCol w:w="109"/>
        <w:gridCol w:w="109"/>
        <w:gridCol w:w="235"/>
        <w:gridCol w:w="634"/>
        <w:gridCol w:w="192"/>
      </w:tblGrid>
      <w:tr>
        <w:trPr/>
        <w:tc>
          <w:tcPr>
            <w:tcW w:w="140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796,004</w:t>
            </w:r>
          </w:p>
        </w:tc>
      </w:tr>
      <w:tr>
        <w:trPr/>
        <w:tc>
          <w:tcPr>
            <w:tcW w:w="38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3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91,179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61,617</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42,873</w:t>
            </w:r>
          </w:p>
        </w:tc>
      </w:tr>
      <w:tr>
        <w:trPr/>
        <w:tc>
          <w:tcPr>
            <w:tcW w:w="38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diluted share</w:t>
            </w:r>
          </w:p>
        </w:tc>
        <w:tc>
          <w:tcPr>
            <w:tcW w:w="23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15,175</w:t>
            </w:r>
          </w:p>
        </w:tc>
      </w:tr>
    </w:tbl>
    <w:p>
      <w:pPr>
        <w:pStyle w:val="TextBody"/>
        <w:bidi w:val="0"/>
        <w:spacing w:lineRule="auto" w:line="288" w:before="0" w:after="240"/>
        <w:ind w:left="0" w:right="0" w:firstLine="360"/>
        <w:jc w:val="both"/>
        <w:rPr/>
      </w:pPr>
      <w:r>
        <w:rPr>
          <w:rFonts w:ascii="Times New Roman;serif" w:hAnsi="Times New Roman;serif"/>
          <w:b w:val="false"/>
          <w:color w:val="000000"/>
          <w:sz w:val="20"/>
          <w:shd w:fill="FFFFFF" w:val="clear"/>
        </w:rPr>
        <w:t xml:space="preserve">Net earnings per diluted share were $4.25 in the First Half of Fiscal 2026 compared to $2.83 in the First Half of Fiscal 2025 </w:t>
      </w:r>
      <w:r>
        <w:rPr>
          <w:rFonts w:ascii="Times New Roman;serif" w:hAnsi="Times New Roman;serif"/>
          <w:b w:val="false"/>
          <w:color w:val="000000"/>
          <w:sz w:val="20"/>
        </w:rPr>
        <w:t xml:space="preserve">reflecting (1) higher gross margin </w:t>
      </w:r>
      <w:r>
        <w:rPr>
          <w:rFonts w:ascii="Times New Roman;serif" w:hAnsi="Times New Roman;serif"/>
          <w:b w:val="false"/>
          <w:color w:val="000000"/>
          <w:sz w:val="20"/>
          <w:shd w:fill="FFFFFF" w:val="clear"/>
        </w:rPr>
        <w:t>primarily from $42 million of tariff refunds recognized as a reduction of cost of goods sold</w:t>
      </w:r>
      <w:r>
        <w:rPr>
          <w:color w:val="000000"/>
        </w:rPr>
        <w:t xml:space="preserve"> </w:t>
      </w:r>
      <w:r>
        <w:rPr>
          <w:rFonts w:ascii="Times New Roman;serif" w:hAnsi="Times New Roman;serif"/>
          <w:b w:val="false"/>
          <w:color w:val="000000"/>
          <w:sz w:val="20"/>
        </w:rPr>
        <w:t>and (2) increased royalties and other operating income. These increases were partially offset by (1) decreased net sales and (2) increased SG&amp;A.</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EBITDA</w:t>
      </w:r>
    </w:p>
    <w:tbl>
      <w:tblPr>
        <w:tblW w:w="8723" w:type="dxa"/>
        <w:jc w:val="left"/>
        <w:tblInd w:w="0" w:type="dxa"/>
        <w:tblLayout w:type="fixed"/>
        <w:tblCellMar>
          <w:top w:w="28" w:type="dxa"/>
          <w:left w:w="28" w:type="dxa"/>
          <w:bottom w:w="28" w:type="dxa"/>
          <w:right w:w="28" w:type="dxa"/>
        </w:tblCellMar>
      </w:tblPr>
      <w:tblGrid>
        <w:gridCol w:w="1097"/>
        <w:gridCol w:w="965"/>
        <w:gridCol w:w="968"/>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307"/>
        <w:gridCol w:w="309"/>
        <w:gridCol w:w="544"/>
      </w:tblGrid>
      <w:tr>
        <w:trPr/>
        <w:tc>
          <w:tcPr>
            <w:tcW w:w="109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Tommy Bahama Segment EBITDA</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91,394 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72,640 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18,754 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Lilly Pulitzer Segment EBITDA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Johnny Was Segment EBITDA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722.2 </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Brands Segment EBITDA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5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EBITDA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(24,336)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124,757 </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95,166 </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29,591 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54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EBITDA as a % of net sales</w:t>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EBITDA was $125 million in the First Half of Fiscal 2026 compared to $95 million in the First Half of Fiscal 2025. The increased EBITDA was primarily due to higher segment EBITDA in Tommy Bahama, Johnny Was and Emerging Brands. These increases were partially offset by decreases in Lilly Pulitzer and Corporate and Other. Changes in segment EBITDA by reportable segment and Corporate and Other are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Tommy Bahama:</w:t>
      </w:r>
    </w:p>
    <w:tbl>
      <w:tblPr>
        <w:tblW w:w="8242" w:type="dxa"/>
        <w:jc w:val="left"/>
        <w:tblInd w:w="0" w:type="dxa"/>
        <w:tblLayout w:type="fixed"/>
        <w:tblCellMar>
          <w:top w:w="28" w:type="dxa"/>
          <w:left w:w="28" w:type="dxa"/>
          <w:bottom w:w="28" w:type="dxa"/>
          <w:right w:w="28" w:type="dxa"/>
        </w:tblCellMar>
      </w:tblPr>
      <w:tblGrid>
        <w:gridCol w:w="1066"/>
        <w:gridCol w:w="930"/>
        <w:gridCol w:w="943"/>
        <w:gridCol w:w="332"/>
        <w:gridCol w:w="224"/>
        <w:gridCol w:w="557"/>
        <w:gridCol w:w="109"/>
        <w:gridCol w:w="109"/>
        <w:gridCol w:w="109"/>
        <w:gridCol w:w="332"/>
        <w:gridCol w:w="224"/>
        <w:gridCol w:w="557"/>
        <w:gridCol w:w="109"/>
        <w:gridCol w:w="109"/>
        <w:gridCol w:w="109"/>
        <w:gridCol w:w="211"/>
        <w:gridCol w:w="721"/>
        <w:gridCol w:w="109"/>
        <w:gridCol w:w="109"/>
        <w:gridCol w:w="109"/>
        <w:gridCol w:w="109"/>
        <w:gridCol w:w="255"/>
        <w:gridCol w:w="256"/>
        <w:gridCol w:w="544"/>
      </w:tblGrid>
      <w:tr>
        <w:trPr/>
        <w:tc>
          <w:tcPr>
            <w:tcW w:w="106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309,949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278,676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4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5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5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EBITDA</w:t>
            </w:r>
          </w:p>
        </w:tc>
        <w:tc>
          <w:tcPr>
            <w:tcW w:w="3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91,394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72,640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54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EBITDA as % of net sales</w:t>
            </w:r>
          </w:p>
        </w:tc>
        <w:tc>
          <w:tcPr>
            <w:tcW w:w="556" w:type="dxa"/>
            <w:gridSpan w:val="2"/>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557" w:type="dxa"/>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557" w:type="dxa"/>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increased segment EBITDA for Tommy Bahama was due to (1) higher gross margin and (2) increased net sales. These increases were partially offset by increased SG&amp;A. The increased SG&amp;A was primarily due to (1) $4 million associated with new brick and mortar retail and food and beverage locations, (2) a $3 million increase in advertising related costs, (3) a $2 million increase in occupancy costs, (4) a $1 million increase in variable and distribution costs resulting from increased net sales and (5) a $1 million increase in consulting and professional services related costs.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Lilly Pulitzer:</w:t>
      </w:r>
    </w:p>
    <w:tbl>
      <w:tblPr>
        <w:tblW w:w="8286" w:type="dxa"/>
        <w:jc w:val="left"/>
        <w:tblInd w:w="0" w:type="dxa"/>
        <w:tblLayout w:type="fixed"/>
        <w:tblCellMar>
          <w:top w:w="28" w:type="dxa"/>
          <w:left w:w="28" w:type="dxa"/>
          <w:bottom w:w="28" w:type="dxa"/>
          <w:right w:w="28" w:type="dxa"/>
        </w:tblCellMar>
      </w:tblPr>
      <w:tblGrid>
        <w:gridCol w:w="1066"/>
        <w:gridCol w:w="930"/>
        <w:gridCol w:w="943"/>
        <w:gridCol w:w="332"/>
        <w:gridCol w:w="224"/>
        <w:gridCol w:w="557"/>
        <w:gridCol w:w="109"/>
        <w:gridCol w:w="109"/>
        <w:gridCol w:w="109"/>
        <w:gridCol w:w="332"/>
        <w:gridCol w:w="224"/>
        <w:gridCol w:w="557"/>
        <w:gridCol w:w="109"/>
        <w:gridCol w:w="109"/>
        <w:gridCol w:w="109"/>
        <w:gridCol w:w="211"/>
        <w:gridCol w:w="796"/>
        <w:gridCol w:w="109"/>
        <w:gridCol w:w="109"/>
        <w:gridCol w:w="109"/>
        <w:gridCol w:w="109"/>
        <w:gridCol w:w="239"/>
        <w:gridCol w:w="241"/>
        <w:gridCol w:w="544"/>
      </w:tblGrid>
      <w:tr>
        <w:trPr/>
        <w:tc>
          <w:tcPr>
            <w:tcW w:w="106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(13,743)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121,768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123,922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4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5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5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EBITDA</w:t>
            </w:r>
          </w:p>
        </w:tc>
        <w:tc>
          <w:tcPr>
            <w:tcW w:w="3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4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EBITDA as % of net sales</w:t>
            </w:r>
          </w:p>
        </w:tc>
        <w:tc>
          <w:tcPr>
            <w:tcW w:w="556" w:type="dxa"/>
            <w:gridSpan w:val="2"/>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557" w:type="dxa"/>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557" w:type="dxa"/>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decreased segment EBITDA for Lilly Pulitzer was primarily due to decreased net sales. This decrease was partially offset by (1) higher gross margin and (2) decreased SG&amp;A. The decreased SG&amp;A was primarily due to a $1 million decrease in variable and distribution costs resulting from decreased net sales.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Johnny Was:</w:t>
      </w:r>
    </w:p>
    <w:tbl>
      <w:tblPr>
        <w:tblW w:w="8173" w:type="dxa"/>
        <w:jc w:val="left"/>
        <w:tblInd w:w="0" w:type="dxa"/>
        <w:tblLayout w:type="fixed"/>
        <w:tblCellMar>
          <w:top w:w="28" w:type="dxa"/>
          <w:left w:w="28" w:type="dxa"/>
          <w:bottom w:w="28" w:type="dxa"/>
          <w:right w:w="28" w:type="dxa"/>
        </w:tblCellMar>
      </w:tblPr>
      <w:tblGrid>
        <w:gridCol w:w="1066"/>
        <w:gridCol w:w="930"/>
        <w:gridCol w:w="943"/>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308"/>
        <w:gridCol w:w="308"/>
        <w:gridCol w:w="544"/>
      </w:tblGrid>
      <w:tr>
        <w:trPr/>
        <w:tc>
          <w:tcPr>
            <w:tcW w:w="106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79,254 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88,888 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(9,634)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722.2 </w:t>
            </w:r>
          </w:p>
        </w:tc>
        <w:tc>
          <w:tcPr>
            <w:tcW w:w="5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EBITDA as % of net sales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increased segment EBITDA for Johnny Was was primarily due to (1) higher gross margin and (2) decreased SG&amp;A. These increases were partially offset by decreased net sales. The decreased SG&amp;A was primarily due to (1) a $3 million decrease in advertising costs, (2) a $1 million decrease in employment costs and (3) a $1 million decrease in occupancy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Emerging Brands:</w:t>
      </w:r>
    </w:p>
    <w:tbl>
      <w:tblPr>
        <w:tblW w:w="7993" w:type="dxa"/>
        <w:jc w:val="left"/>
        <w:tblInd w:w="0" w:type="dxa"/>
        <w:tblLayout w:type="fixed"/>
        <w:tblCellMar>
          <w:top w:w="28" w:type="dxa"/>
          <w:left w:w="28" w:type="dxa"/>
          <w:bottom w:w="28" w:type="dxa"/>
          <w:right w:w="28" w:type="dxa"/>
        </w:tblCellMar>
      </w:tblPr>
      <w:tblGrid>
        <w:gridCol w:w="1066"/>
        <w:gridCol w:w="930"/>
        <w:gridCol w:w="94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55"/>
        <w:gridCol w:w="256"/>
        <w:gridCol w:w="544"/>
      </w:tblGrid>
      <w:tr>
        <w:trPr/>
        <w:tc>
          <w:tcPr>
            <w:tcW w:w="106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75,710 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72,778 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5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EBITDA as % of net sales</w:t>
            </w:r>
          </w:p>
        </w:tc>
        <w:tc>
          <w:tcPr>
            <w:tcW w:w="1041"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increased segment EBITDA for Emerging Brands was primarily due to (1) higher gross margin and (2) increased net sales. These increases were partially offset by increased SG&amp;A. The increased SG&amp;A was primarily due to (1) a $2 million increase in variable and distribution costs primarily driven by increased net sales and (2) $1 million of Southern Tide store closure related charges. These increases were partially offset by a $2 million decrease in employment costs.</w:t>
      </w:r>
    </w:p>
    <w:p>
      <w:pPr>
        <w:pStyle w:val="TextBody"/>
        <w:bidi w:val="0"/>
        <w:spacing w:lineRule="auto" w:line="288"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Corporate and Other:</w:t>
      </w:r>
    </w:p>
    <w:tbl>
      <w:tblPr>
        <w:tblW w:w="6819" w:type="dxa"/>
        <w:jc w:val="left"/>
        <w:tblInd w:w="0" w:type="dxa"/>
        <w:tblLayout w:type="fixed"/>
        <w:tblCellMar>
          <w:top w:w="28" w:type="dxa"/>
          <w:left w:w="28" w:type="dxa"/>
          <w:bottom w:w="28" w:type="dxa"/>
          <w:right w:w="28" w:type="dxa"/>
        </w:tblCellMar>
      </w:tblPr>
      <w:tblGrid>
        <w:gridCol w:w="609"/>
        <w:gridCol w:w="532"/>
        <w:gridCol w:w="538"/>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268"/>
        <w:gridCol w:w="268"/>
        <w:gridCol w:w="380"/>
      </w:tblGrid>
      <w:tr>
        <w:trPr/>
        <w:tc>
          <w:tcPr>
            <w:tcW w:w="6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Corporate and Other EBITDA decreased primarily due to a higher LIFO accounting charge. This decrease was partially offset by decreased SG&amp;A. The decreased SG&amp;A was primarily due to (1) a $1 million decrease in employment costs primarily driven by decreased incentive compensation and (2) a $1 million decrease in consulting and professional services 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reconciliations of net earnings to EBITDA. EBITDA is calculated as net sales less cost of goods sold and total SG&amp;A, and it excludes income tax expense (benefit), interest expense, net and depreciation and amortization. Adjusted EBITDA is EBITDA less other infrequent operating charges (impairments of goodwill, intangible assets and equity method investments). We believe that the presentation of EBITDA and Adjusted EBITDA, when impairments of goodwill, intangible assets and equity method investments are incurred, neither of which are GAAP financial measures, provides meaningful supplemental information to both management and investors that is indicative of our core operations when considered together with the corresponding GAAP financial measures and the reconciliations to those measures. We believe that EBITDA is a useful measure of operating performance because it helps us, analysts, investors, and other interested parties assess the underlying profitability of our operations before the effects of certain net expenses that directly arise from our capital investment decisions (depreciation, amortization), financing decisions (interest) and tax strategies (income taxes). EBITDA and Adjusted EBITDA help us, analysts, investors, and other interested parties evaluate our operating performance on a comparable basis from period-to-period so that we can better understand the ongoing factors and trends affecting our business operations. We also use EBITDA, and Adjusted EBITDA when applicable, to forecast our performance, evaluate our actual results against our forecasts and compare our results to others in the industries that we serve. We do not, nor do we suggest investors should, consider such non-GAAP financial measures in isolation from, or as a substitute for, GAAP financial information. The table below showing consolidated totals reconciles GAAP net earnings to EBITDA: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tbl>
      <w:tblPr>
        <w:tblW w:w="7785" w:type="dxa"/>
        <w:jc w:val="left"/>
        <w:tblInd w:w="0" w:type="dxa"/>
        <w:tblLayout w:type="fixed"/>
        <w:tblCellMar>
          <w:top w:w="28" w:type="dxa"/>
          <w:left w:w="28" w:type="dxa"/>
          <w:bottom w:w="28" w:type="dxa"/>
          <w:right w:w="28" w:type="dxa"/>
        </w:tblCellMar>
      </w:tblPr>
      <w:tblGrid>
        <w:gridCol w:w="939"/>
        <w:gridCol w:w="825"/>
        <w:gridCol w:w="83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GAAP net earnings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48,967 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16,692 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63,955 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42,873 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86,014 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124,757 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95,166 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 of revenue and cash flow is through our design, sourcing, marketing and distribution of branded apparel products bearing the trademarks of our Tommy Bahama, Lilly Pulitzer, Johnny Was, Southern Tide, TBBC, Duck Head and Jack Rogers lifestyle brands. We primarily distribute our products to our customers via direct to consumer channels of distribution, but we also distribute our products via wholesale channels of distribution.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uses of cash flow include the purchase of our branded apparel products from third party suppliers located outside of the United States, as well as operating expenses, including employee compensation and benefits, operating lease commitments and other occupancy-related costs, marketing and advertising costs, information technology costs, variable expenses, distribution costs, other general and administrative expenses and the periodic payment of interest. Additionally, we use our cash to fund capital expenditures and other investing activities, dividends, share repurchases and repayment of indebtedness, if any. In the ordinary course of business, we maintain certain levels of inventory, extend credit to our wholesale customers and pay our operating expenses. Thus, we require a certain amount of ongoing working capital to operate our business. Our need for working capital is typically seasonal with the greatest working capital requirements to support our larger spring, summer and holiday direct to consumer seasons. Our capital needs depend on many factors including the results of our operations and cash flows, anticipated growth rates, the need to finance inventory levels and the success of our various products.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 Activity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net cash flows for the First Half of Fiscal 2026 and the First Half of Fiscal 2025 (in thousands):</w:t>
      </w:r>
    </w:p>
    <w:tbl>
      <w:tblPr>
        <w:tblW w:w="5843" w:type="dxa"/>
        <w:jc w:val="left"/>
        <w:tblInd w:w="0" w:type="dxa"/>
        <w:tblLayout w:type="fixed"/>
        <w:tblCellMar>
          <w:top w:w="28" w:type="dxa"/>
          <w:left w:w="28" w:type="dxa"/>
          <w:bottom w:w="28" w:type="dxa"/>
          <w:right w:w="28" w:type="dxa"/>
        </w:tblCellMar>
      </w:tblPr>
      <w:tblGrid>
        <w:gridCol w:w="1226"/>
        <w:gridCol w:w="1080"/>
        <w:gridCol w:w="1083"/>
        <w:gridCol w:w="211"/>
        <w:gridCol w:w="721"/>
        <w:gridCol w:w="109"/>
        <w:gridCol w:w="109"/>
        <w:gridCol w:w="109"/>
        <w:gridCol w:w="109"/>
        <w:gridCol w:w="211"/>
        <w:gridCol w:w="721"/>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97,300 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79,549 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(2,819)</w:t>
            </w:r>
          </w:p>
        </w:tc>
        <w:tc>
          <w:tcPr>
            <w:tcW w:w="154"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cash flows in the First Half of Fiscal 2026 and the First Half of Fiscal 2025 related to operating activities, investing activities and financing activities are discussed below.</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First Half of Fiscal 2026 and the First Half of Fiscal 2025, operating activities provided $97 million and $80 million of cash, respectively. The cash flow from operating activities for each period primarily consisted of net earnings for the relevant period adjusted, as applicable, for non-cash activities including impairment of property and equipment, depreciation, amortization of intangible assets, amortization of deferred financing costs, equity-based compensation and other non-cash items as well as the net impact of changes in deferred income taxes and operating assets and liabilities.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First Half of Fiscal 2026, the net change in operating assets and liabilities from the end of Fiscal 2025 decreased cash provided by operating activities, primarily relating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605" cy="14605"/>
                <wp:effectExtent l="0" t="0" r="0" b="0"/>
                <wp:wrapNone/>
                <wp:docPr id="42" name="Frame4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decrease in current liabilities, including accounts payable, lease liabilities and accrued compensation due primarily to the timing of payments;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increase in both prepaid expenses and other current assets and other balance sheet changes due primarily to increases in prepaid software costs and software as a service (“SaaS”) configuration costs;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increase in tariff receivables due to the timing of cash receipts related to previously paid tariffs. This increase was partially offset by a decrease in trade receivables due to lower wholesale sales, the seasonality of our business resulting in a higher proportion of wholesale sales occurring early in our fiscal year and the timing of sales and cash receipts.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decreases in cash provided by operating activities were partially offset by: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decrease in inventories, due to efforts to reduce inventory balances in response to weaker consumer demand and the seasonality of our business, with inventory balances decreasing early in the fiscal year due to a higher proportion of sales typically occurring early in our fiscal year;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decrease in income tax receivables driven by the timing of payments.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First Half of Fiscal 2025, the net change in operating assets and liabilities from the end of Fiscal 2024 decreased cash provided by operating activities primarily due to: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increase in prepaid expenses and other current assets and other balance sheet changes due primarily to increases in prepaid software costs, SaaS configuration costs and prepaid income taxes.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decreases in cash provided by operating activities were partially offset by: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decrease in income tax receivables due to the timing of cash receipts;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decrease in receivables due to the seasonality of our business resulting in a higher proportion of wholesale sales occurring early in our fiscal year and the timing of sales and cash receipts;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decrease in inventories due to the seasonality of our business, with inventory balances decreasing early in the fiscal year due to a higher proportion of sales typically occurring early in our fiscal years;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increase in current liabilities due to increased accounts payable driven by the timing of payments.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First Half of Fiscal 2026 and the First Half of Fiscal 2025, investing activities used $31 million and $55 million of cash, respectively. On an ongoing basis, our cash flow used in investing activities primarily consists of our capital expenditures, which totaled $32 million in the First Half of Fiscal 2026 and $55 million in the First Half of Fiscal 2025. Capital expenditures decreased in the First Half of Fiscal 2026 compared to the First Half of Fiscal 2025 primarily due to lower expenditures related to new brick and mortar retail and food and beverage locations and the Lyons, Georgia distribution center project.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Half of Fiscal 2026 and the First Half of Fiscal 2025, financing activities used $65 million and $28 million of cash, respectively.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First Half of Fiscal 2026, net cash repayments of debt were $43 million as our long-term debt decreased due to cash flow from operations exceeding capital expenditures of $32 million and dividends of $22 million.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First Half of Fiscal 2025, net cash proceeds from debt were $50 million as our long-term debt increased due to share repurchases of $55 million, capital expenditures of $55 million and dividends of $21 million collectively exceeding cash flow from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605" cy="14605"/>
                <wp:effectExtent l="0" t="0" r="0" b="0"/>
                <wp:wrapNone/>
                <wp:docPr id="43" name="Frame43"/>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long history of generating sufficient cash flows from operations to satisfy our cash requirements for our ongoing capital expenditure needs as well as payment of dividends and repayment of our debt. Thus, we believe our anticipated future cash flows from operating activities will provide (1) sufficient cash over both the short and long term to satisfy our ongoing operating cash requirements, (2) funds to continue to invest in our businesses, including direct to consumer initiatives and information technology projects, (3) additional cash flow to repay debt that may be outstanding and (4) sufficient cash for other strategic initiatives such as acquisitions and share repurchases.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cash flow needs, for acquisitions or otherwise, in the future exceed cash flow provided by our operations, we will have access, subject to its terms, to our $325 million U.S. Revolving Credit Agreement to provide funding for operating activities, capital expenditures and acquisitions, if any, and any other investing or financing activities. The U.S. Revolving Credit Agreement matures in March 2028.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issue standby letters of credit under the U.S. Revolving Credit Agreement. Outstanding letters of credit under the U.S. Revolving Credit Agreement reduce the amount of borrowings available to us when issued and, as of August 1, 2026, January 31, 2026, and August 2, 2025, totaled $6 million, $5 million and $5 million, respectively.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August 1, 2026, January 31, 2026, and August 2, 2025, we had $73 million, $116 million and $81 million, respectively, of borrowings outstanding and $240 million, $203 million and $239 million, respectively, in unused availability under the U.S. Revolving Credit Agreement.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short-term investments and debt levels in future periods may not be comparable to historical amounts as we continue to assess, and possibly make changes to, our capital structure, including borrowings from additional credit facilities, sales of debt or equity securities or the repurchase of shares of our stock in the future. Changes in our capital structure, if any, will depend on prevailing market conditions, our liquidity requirements, contractual restrictions and other factors. The amounts involved may be material.</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Compliance with Covenants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U.S. Revolving Credit Agreement is subject to a number of affirmative covenants regarding the delivery of financial information, compliance with law, maintenance of property, insurance requirements and conduct of business. Also, the U.S. Revolving Credit Agreement is subject to certain negative covenants or other restrictions including, among other things, limitations on our ability to (1) incur debt, (2) guaranty certain obligations, (3) incur liens, (4) pay dividends to shareholders, (5) repurchase shares of our common stock, (6) make investments, (7) sell assets or stock of subsidiaries, (8) acquire assets or businesses, (9) merge or consolidate with other companies or (10) prepay, retire, repurchase or redeem debt.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U.S. Revolving Credit Agreement contains a financial covenant that applies only if excess availability under the agreement for three consecutive business days is less than the greater of (1) $23.5 million or (2) 10% of availability. In such case, our fixed charge coverage ratio as defined in the U.S. Revolving Credit Agreement must not be less than 1.0 to 1.0 for the immediately preceding 12 fiscal months for which financial statements have been delivered. This financial covenant continues to apply until we have maintained excess availability under the U.S. Revolving Credit Agreement of more than the greater of (1) $23.5 million or (2) 10% of availability for 30 consecutive days.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the affirmative covenants, negative covenants, financial covenants and other restrictions under the U.S. Revolving Credit Agreement are customary for those included in similar facilities entered into at the time we amended the U.S. Revolving Credit Agreement. During the First Half of Fiscal 2026 and as of August 1, 2026, no financial covenant testing was required pursuant to the U.S. Revolving Credit Agreement, as the minimum availability threshold was met at all times. As of August 1, 2026, we were compliant with all applicable covenants related to the U.S. Revolving Credit Agreement.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Lease Commitments: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4 in our unaudited condensed consolidated financial statements included in this report for additional information about our operating lease commitments as of August 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 2026, our Board of Directors approved a cash dividend of $0.70 per share payable on October 30, 2026 to shareholders of record as of the close of business on October 16, 2026. Although we have paid dividends each quarter since we became a public company in July 1960, we may discontinue or modify dividend payments at any time if we determine that other uses of our capital, including payment of outstanding debt, funding of acquisitions, funding of capital expenditures or repurchases of outstanding shares, may be in our best interest; if our expectations of future cash flows and future cash needs outweigh the ability to pay a dividend; or if the terms of our credit facility, other debt instruments or applicable law limit our ability to pay dividends. We may borrow to fund dividends or repurchase shares in the short term subject to the terms and conditions of our credit facility, other debt instruments and applicable law. All cash flow from operations will not be paid out as dividends.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24, 2025, our Board of Directors authorized us to spend up to $100 million to repurchase shares of our stock. This authorization superseded and replaced all previous authorizations to repurchase shares of our stock and has no automatic expiration. During the Second Quarter of Fiscal 2026 and First Half of Fiscal 2026, we repurchased no shares of our common stock pursuant to the open market repurchase plan authorization. During the Second Quarter of Fiscal 2025, we repurchased a total of 114,477 shares in open market repurchases at an average price of $40.46 for $5 million under the March 24, 2025 authorization. During the First Half of Fiscal 2025 we repurchased a total of 956,484 shares at an average cost of $57.12 for $55 million, including 842,007 shares of our common stock at an average cost of $59.38 for $50 million under a previous December 10, 2024, Board of Directors authorization of up to $100 million to repurchase shares of our stock.</w:t>
      </w:r>
    </w:p>
    <w:p>
      <w:pPr>
        <w:pStyle w:val="TextBody"/>
        <w:bidi w:val="0"/>
        <w:spacing w:lineRule="auto" w:line="288"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August 1, 2026, $95 million remained under the March 24, 2025, Board of Directors' authorization.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Capital expenditures of $32 million for the First Half of Fiscal 2026 decreased from $55 million in the First Half of Fiscal 2025 due to decreased capital expenditures related to (1) the opening of food and beverage and retail store locations and (2) the multi-year project to build a new distribution center in Lyons, Georgia.</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Capital expenditures do not include SaaS implementation expenditures that were $9 million and $16 million for the First Half of Fiscal 2026 and the First Half of Fiscal 2025, respectively. SaaS implementation costs on the condensed consolidated balance sheets as of August 1, 2026, January 31, 2026, and August 2, 2025, totaled $36 million, $33 million and $35 million and are included in prepaid expenses and other current assets and other assets, net in the condensed consolidated balance sheets. Changes in current and noncurrent SaaS implementation assets are included in prepaid expenses and other current assets and other balance sheet changes, respectively, in the condensed consolidated statements of cash flows.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Liquidity Items: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contractual obligations as of August 1, 2026, except for the decreased debt outstanding, as discussed above, have not changed materially from the contractual obligations outstanding at January 31, 2026, as disclosed in our Fiscal 2025 Form 10-K. We have not entered into agreements which meet the SEC’s definition of an off balance sheet financing arrangement, other than operating leases, and have made no financial commitments or guarantees with respect to any unconsolidated subsidiaries or special purpose entities.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discussion and analysis of our financial condition and results of operations are based upon our condensed consolidated financial statements, which have been prepared in accordance with GAAP in a consistent manner. The preparation of these financial statements requires the selection and application of accounting policies. Further, the application of GAAP requires us to make estimates and judgments about future events that affect the reported amounts of assets, liabilities, revenues and expenses and related disclosures. We base our estimates on historical experience, current trends and various other assumptions that we believe are reasonable under the circumstances, the results of which form the basis for making judgments about the carrying values of assets and liabilities that are not readily apparent from other 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Actual results may differ from these estimates under different assumptions or conditions. We believe it is possible that other professionals, applying reasonable judgment to the same set of facts and circumstances, could develop and support a range of alternative estimated amounts. We believe that we have appropriately applied our critical accounting policies. However, in the event that inappropriate assumptions or methods were used relating to the critical accounting policies, our consolidated statements of operations could be materially misstated.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critical accounting policies and estimates are discussed in Part II, Item 7, Management’s Discussion and Analysis of Financial Condition and Results of Operations in our Fiscal 2025 Form 10-K. During the Second Quarter of Fiscal 2026, there have not been any significant changes to our critical accounting policies and estimates. A detailed summary of significant accounting policies is included in Note 1 to our consolidated financial statements contained in our Fiscal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SEASONAL ASPECTS OF OUR BUSINESS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of our operating segments is impacted by seasonality as the demand by specific product or style, as well as by distribution channel, may vary significantly depending on the time of year. As a result, our quarterly operating results and working capital requirements fluctuate significantly from quarter to quarter. Typically, the demand for products for our larger brands is higher in the spring, summer and holiday seasons and lower in the fall season (the third quarter of our fiscal year). Thus, our third quarter historically has had the lowest net sales and net earnings compared to other quarters. Further, the impact of certain unusual or non-recurring items, economic conditions, our e-commerce flash clearance sales, wholesale product shipments, weather, acquisitions or other factors affecting our operations may vary from one year to the next. Therefore, due to the potential impact of these items, we do not believe that net sales or operating income in the Second Quarter of Fiscal 2026 is indicative of the expected proportion of amounts by quarter for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u w:val="single"/>
        </w:rPr>
      </w:pPr>
      <w:r>
        <w:rPr>
          <w:rFonts w:ascii="Times New Roman;serif" w:hAnsi="Times New Roman;serif"/>
          <w:b/>
          <w:color w:val="000000"/>
          <w:sz w:val="20"/>
          <w:u w:val="single"/>
        </w:rPr>
        <w:t>ITEM 3. QUANTITATIVE AND QUALITATIVE DISCLOSURES ABOUT MARKET RISK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certain interest rate, foreign currency, commodity and inflation risks as discussed in Part II, Item 7A, Quantitative and Qualitative Disclosures About Market Risk in our Fiscal 2025 Form 10-K. There have not been any material changes in our exposure to these risks during the Second Quarter of Fiscal 2026 other than our decreased exposure to interest rates resulting from our decreased borrowings relative to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u w:val="single"/>
        </w:rPr>
      </w:pPr>
      <w:r>
        <w:rPr>
          <w:rFonts w:ascii="Times New Roman;serif" w:hAnsi="Times New Roman;serif"/>
          <w:b/>
          <w:color w:val="000000"/>
          <w:sz w:val="20"/>
          <w:u w:val="single"/>
        </w:rPr>
        <w:t>ITEM 4. CONTROLS AND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Company, under the supervision and with the participation of our management, including our principal executive officer and principal financial officer, has evaluated the effectiveness of our disclosure controls and procedures as of the end of the period covered by this report. Based upon that evaluation, our principal executive officer and our principal financial officer concluded that, as of the end of the period covered by this report, our disclosure controls and procedures were effective.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 13a-15(d) of the Exchange Act during the Second Quarter of Fiscal 2026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u w:val="single"/>
        </w:rPr>
      </w:pPr>
      <w:r>
        <w:rPr>
          <w:rFonts w:ascii="Times New Roman;serif" w:hAnsi="Times New Roman;serif"/>
          <w:b/>
          <w:color w:val="000000"/>
          <w:sz w:val="20"/>
          <w:u w:val="single"/>
        </w:rPr>
        <w:t>ITEM 1. LEGAL PROCEEDINGS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a party to litigation and regulatory actions arising in the ordinary course of business. These actions may relate to trademark and other intellectual property, employee relations matters, consumer marketing, real estate, licensing arrangements, importing or exporting regulations, product safety requirements, taxation or other topics. We are not currently a party to any litigation or regulatory action or aware of any proceedings contemplated by governmental authorities that we believe could reasonably be expected to have a material impact on our financial position, results of operations or cash flows. However, our assessment of any litigation or other legal claims could potentially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change in light of the discovery of additional factors not presently known or determinations by judges, juries, or others which are not consistent with our evaluation of the possible liability or outcome of such litigation or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u w:val="single"/>
        </w:rPr>
      </w:pPr>
      <w:r>
        <w:rPr>
          <w:rFonts w:ascii="Times New Roman;serif" w:hAnsi="Times New Roman;serif"/>
          <w:b/>
          <w:color w:val="000000"/>
          <w:sz w:val="20"/>
          <w:u w:val="single"/>
        </w:rPr>
        <w:t>ITEM 1A. RISK FACTORS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Investors should carefully consider the factors discussed in Part I, Item 1A. Risk Factors in our Fiscal 2025 Form 10-K, which could materially affect our business, financial condition or operating results. We operate in a competitive and rapidly changing business environment and additional risks and uncertainties that we currently consider immaterial or are not presently known to us may also adversely affect our business. The risks described in our Fiscal 2025 Form 10-K are not the only risks facing our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u w:val="single"/>
        </w:rPr>
      </w:pPr>
      <w:r>
        <w:rPr>
          <w:rFonts w:ascii="Times New Roman;serif" w:hAnsi="Times New Roman;serif"/>
          <w:b/>
          <w:color w:val="000000"/>
          <w:sz w:val="20"/>
          <w:u w:val="single"/>
        </w:rPr>
        <w:t>ITEM 2. UNREGISTERED SALES OF EQUITY SECURITIES AND USE OF PROCEEDS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(a)During the Second Quarter of Fiscal 2026, we did not make any unregistered sales of equity securities. </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(c)We have certain stock incentive plans as described in Note 9 of our Fiscal 2025 Form 10-K, all of which are publicly announced plans. Under the plans, we can repurchase shares from employees to cover employee tax liabilities related to the vesting of shares of our stock. During the Second Quarter of Fiscal 2026, we repurchased $1 million of shares from our employees related to the May 2026 vesting of service-based restricted share awards.</w:t>
      </w:r>
    </w:p>
    <w:tbl>
      <w:tblPr>
        <w:tblW w:w="10205" w:type="dxa"/>
        <w:jc w:val="left"/>
        <w:tblInd w:w="0" w:type="dxa"/>
        <w:tblLayout w:type="fixed"/>
        <w:tblCellMar>
          <w:top w:w="28" w:type="dxa"/>
          <w:left w:w="28" w:type="dxa"/>
          <w:bottom w:w="28" w:type="dxa"/>
          <w:right w:w="28" w:type="dxa"/>
        </w:tblCellMar>
      </w:tblPr>
      <w:tblGrid>
        <w:gridCol w:w="393"/>
        <w:gridCol w:w="344"/>
        <w:gridCol w:w="346"/>
        <w:gridCol w:w="469"/>
        <w:gridCol w:w="469"/>
        <w:gridCol w:w="470"/>
        <w:gridCol w:w="109"/>
        <w:gridCol w:w="109"/>
        <w:gridCol w:w="109"/>
        <w:gridCol w:w="591"/>
        <w:gridCol w:w="446"/>
        <w:gridCol w:w="307"/>
        <w:gridCol w:w="109"/>
        <w:gridCol w:w="109"/>
        <w:gridCol w:w="109"/>
        <w:gridCol w:w="860"/>
        <w:gridCol w:w="860"/>
        <w:gridCol w:w="863"/>
        <w:gridCol w:w="109"/>
        <w:gridCol w:w="109"/>
        <w:gridCol w:w="109"/>
        <w:gridCol w:w="1178"/>
        <w:gridCol w:w="760"/>
        <w:gridCol w:w="868"/>
      </w:tblGrid>
      <w:tr>
        <w:trPr/>
        <w:tc>
          <w:tcPr>
            <w:tcW w:w="39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Month</w:t>
            </w:r>
          </w:p>
        </w:tc>
        <w:tc>
          <w:tcPr>
            <w:tcW w:w="14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Dollar Value (000s) of Shares That May Yet be Purchased Under the Plans or Programs</w:t>
            </w:r>
          </w:p>
        </w:tc>
      </w:tr>
      <w:tr>
        <w:trPr/>
        <w:tc>
          <w:tcPr>
            <w:tcW w:w="1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May (5/3/26 - 5/30/26)</w:t>
            </w:r>
          </w:p>
        </w:tc>
        <w:tc>
          <w:tcPr>
            <w:tcW w:w="14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95,369</w:t>
            </w:r>
          </w:p>
        </w:tc>
      </w:tr>
      <w:tr>
        <w:trPr/>
        <w:tc>
          <w:tcPr>
            <w:tcW w:w="10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June (5/31/26 - 7/4/26)</w:t>
            </w:r>
          </w:p>
        </w:tc>
        <w:tc>
          <w:tcPr>
            <w:tcW w:w="1408"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95,369</w:t>
            </w:r>
          </w:p>
        </w:tc>
      </w:tr>
      <w:tr>
        <w:trPr/>
        <w:tc>
          <w:tcPr>
            <w:tcW w:w="10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July (7/5/26 - 8/1/26)</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95,369</w:t>
            </w:r>
          </w:p>
        </w:tc>
      </w:tr>
      <w:tr>
        <w:trPr/>
        <w:tc>
          <w:tcPr>
            <w:tcW w:w="10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08"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95,369</w:t>
            </w:r>
          </w:p>
        </w:tc>
      </w:tr>
    </w:tbl>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24, 2025, our Board of Directors authorized us to spend up to $100 million to repurchase shares of our stock with no expiration. No shares were repurchased through open market repurchase programs or this authorization during the Second Quarter of Fiscal 2026. As of August 1, 2026, $95 million remained under the March 24, 2025, Board of Directors'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u w:val="single"/>
        </w:rPr>
      </w:pPr>
      <w:r>
        <w:rPr>
          <w:rFonts w:ascii="Times New Roman;serif" w:hAnsi="Times New Roman;serif"/>
          <w:b/>
          <w:color w:val="000000"/>
          <w:sz w:val="20"/>
          <w:u w:val="single"/>
        </w:rPr>
        <w:t>ITEM 5. OTHER INFORMATION</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(a)On September 1, 2026, Mr. Thomas E. Campbell announced his intention to retire at the end of the current fiscal year. To facilitate an orderly transition of responsibilities, Mr. Campbell will be stepping down from his position as Executive Vice President and Chief Information Officer, effective September 15, 2026, and continuing through his retirement date in a non-executive senior advisory role.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(c)During the Second Quarter of Fiscal 2026, none of our directors or officers adopted or terminated a “Rule 10b5-1 trading arrangement” or a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6. EXHIBITS</w:t>
      </w:r>
    </w:p>
    <w:tbl>
      <w:tblPr>
        <w:tblW w:w="10205" w:type="dxa"/>
        <w:jc w:val="left"/>
        <w:tblInd w:w="0" w:type="dxa"/>
        <w:tblLayout w:type="fixed"/>
        <w:tblCellMar>
          <w:top w:w="28" w:type="dxa"/>
          <w:left w:w="28" w:type="dxa"/>
          <w:bottom w:w="28" w:type="dxa"/>
          <w:right w:w="28" w:type="dxa"/>
        </w:tblCellMar>
      </w:tblPr>
      <w:tblGrid>
        <w:gridCol w:w="243"/>
        <w:gridCol w:w="197"/>
        <w:gridCol w:w="202"/>
        <w:gridCol w:w="2797"/>
        <w:gridCol w:w="2797"/>
        <w:gridCol w:w="3969"/>
      </w:tblGrid>
      <w:tr>
        <w:trPr/>
        <w:tc>
          <w:tcPr>
            <w:tcW w:w="2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56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erif" w:hAnsi="Times New Roman;serif"/>
                  <w:b w:val="false"/>
                  <w:color w:val="0000FF"/>
                  <w:sz w:val="20"/>
                  <w:u w:val="single"/>
                </w:rPr>
                <w:t>Restated Articles of Incorporation of Oxford Industries, Inc. (filed as Exhibit 3.1 to the Company’s Form 10-Q for the fiscal quarter ended July 29, 2017)</w:t>
              </w:r>
            </w:hyperlink>
          </w:p>
        </w:tc>
      </w:tr>
      <w:tr>
        <w:trPr/>
        <w:tc>
          <w:tcPr>
            <w:tcW w:w="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56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FF"/>
                  <w:sz w:val="20"/>
                  <w:u w:val="single"/>
                </w:rPr>
                <w:t>Bylaws of Oxford Industries, Inc., as amended (filed as Exhibit 3.2 to the Company's Form 10-Q for the fiscal quarter ended May 2, 2026)</w:t>
              </w:r>
            </w:hyperlink>
          </w:p>
        </w:tc>
      </w:tr>
      <w:tr>
        <w:trPr/>
        <w:tc>
          <w:tcPr>
            <w:tcW w:w="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56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oxm-20260801xexx101.htm">
              <w:r>
                <w:rPr>
                  <w:rStyle w:val="InternetLink"/>
                  <w:rFonts w:ascii="Times New Roman;serif" w:hAnsi="Times New Roman;serif"/>
                  <w:b w:val="false"/>
                  <w:color w:val="0000FF"/>
                  <w:sz w:val="20"/>
                  <w:u w:val="single"/>
                </w:rPr>
                <w:t>Oxford Industries, Inc. Amended and Restated Long-Term Stock Incentive Plan*</w:t>
              </w:r>
            </w:hyperlink>
          </w:p>
        </w:tc>
      </w:tr>
      <w:tr>
        <w:trPr/>
        <w:tc>
          <w:tcPr>
            <w:tcW w:w="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56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oxm-2026801xex311.htm">
              <w:r>
                <w:rPr>
                  <w:rStyle w:val="InternetLink"/>
                  <w:rFonts w:ascii="Times New Roman;serif" w:hAnsi="Times New Roman;serif"/>
                  <w:b w:val="false"/>
                  <w:color w:val="0000FF"/>
                  <w:sz w:val="20"/>
                  <w:u w:val="single"/>
                </w:rPr>
                <w:t>Section 302 Certification by Principal Executive Officer.*</w:t>
              </w:r>
            </w:hyperlink>
          </w:p>
        </w:tc>
      </w:tr>
      <w:tr>
        <w:trPr/>
        <w:tc>
          <w:tcPr>
            <w:tcW w:w="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56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oxm-2026801xex312.htm">
              <w:r>
                <w:rPr>
                  <w:rStyle w:val="InternetLink"/>
                  <w:rFonts w:ascii="Times New Roman;serif" w:hAnsi="Times New Roman;serif"/>
                  <w:b w:val="false"/>
                  <w:color w:val="0000FF"/>
                  <w:sz w:val="20"/>
                  <w:u w:val="single"/>
                </w:rPr>
                <w:t>Section 302 Certification by Principal Financial Officer.*</w:t>
              </w:r>
            </w:hyperlink>
          </w:p>
        </w:tc>
      </w:tr>
      <w:tr>
        <w:trPr/>
        <w:tc>
          <w:tcPr>
            <w:tcW w:w="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56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oxm-2026801xex32.htm">
              <w:r>
                <w:rPr>
                  <w:rStyle w:val="InternetLink"/>
                  <w:rFonts w:ascii="Times New Roman;serif" w:hAnsi="Times New Roman;serif"/>
                  <w:b w:val="false"/>
                  <w:color w:val="0000FF"/>
                  <w:sz w:val="20"/>
                  <w:u w:val="single"/>
                </w:rPr>
                <w:t>Section 906 Certification by Principal Executive Officer and Principal Financial Officer.**</w:t>
              </w:r>
            </w:hyperlink>
          </w:p>
        </w:tc>
      </w:tr>
      <w:tr>
        <w:trPr/>
        <w:tc>
          <w:tcPr>
            <w:tcW w:w="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5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5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5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5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5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6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5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6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56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r>
      <w:tr>
        <w:trPr/>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tc>
      </w:tr>
      <w:tr>
        <w:trPr/>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 This exhibit shall not be deemed “filed” for purposes of Section 18 of the Exchange Act, or otherwise subject to the liability of that Section. Such exhibit shall not be deemed incorporated into any filing under the Securities Act of 1933, as amended or the Exchange Act.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2f68eae8f7454a24b011b075ff4ee51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491" w:type="dxa"/>
        <w:jc w:val="left"/>
        <w:tblInd w:w="0" w:type="dxa"/>
        <w:tblLayout w:type="fixed"/>
        <w:tblCellMar>
          <w:top w:w="28" w:type="dxa"/>
          <w:left w:w="28" w:type="dxa"/>
          <w:bottom w:w="28" w:type="dxa"/>
          <w:right w:w="28" w:type="dxa"/>
        </w:tblCellMar>
      </w:tblPr>
      <w:tblGrid>
        <w:gridCol w:w="591"/>
        <w:gridCol w:w="521"/>
        <w:gridCol w:w="522"/>
        <w:gridCol w:w="1494"/>
        <w:gridCol w:w="1494"/>
        <w:gridCol w:w="1497"/>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4, 2026</w:t>
            </w:r>
          </w:p>
        </w:tc>
        <w:tc>
          <w:tcPr>
            <w:tcW w:w="44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OXFORD INDUSTRIES,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K. Scott Grassmyer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K. Scott Grassmyer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Chief Financial Officer and </w:t>
            </w:r>
          </w:p>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Chief Operating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(Authorized Signatory)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OXFORD INDUSTRIES,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AMENDED AND RESTATED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LONG-TERM STOCK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June 23, 2026)</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1.</w:t>
      </w:r>
      <w:r>
        <w:rPr>
          <w:rFonts w:ascii="Times New Roman;serif" w:hAnsi="Times New Roman;serif"/>
          <w:b w:val="false"/>
          <w:i/>
          <w:color w:val="000000"/>
          <w:sz w:val="20"/>
        </w:rPr>
        <w:t>Purpose</w:t>
      </w:r>
      <w:r>
        <w:rPr>
          <w:rFonts w:ascii="Times New Roman;serif" w:hAnsi="Times New Roman;serif"/>
          <w:b w:val="false"/>
          <w:color w:val="000000"/>
          <w:sz w:val="20"/>
        </w:rPr>
        <w:t>. The purpose of the Oxford Industries, Inc. Amended and Restated Long-Term Stock Incentive Plan (the “Plan”) is to attract and retain employees and directors for Oxford Industries, Inc. and its subsidiaries and to provide such persons with incentives and rewards for superior performance.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2.</w:t>
      </w:r>
      <w:r>
        <w:rPr>
          <w:rFonts w:ascii="Times New Roman;serif" w:hAnsi="Times New Roman;serif"/>
          <w:b w:val="false"/>
          <w:i/>
          <w:color w:val="000000"/>
          <w:sz w:val="20"/>
        </w:rPr>
        <w:t>Definitions</w:t>
      </w:r>
      <w:r>
        <w:rPr>
          <w:rFonts w:ascii="Times New Roman;serif" w:hAnsi="Times New Roman;serif"/>
          <w:b w:val="false"/>
          <w:color w:val="000000"/>
          <w:sz w:val="20"/>
        </w:rPr>
        <w:t>. The following terms shall be defined as set forth below:</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w:t>
      </w:r>
      <w:r>
        <w:rPr>
          <w:color w:val="000000"/>
        </w:rPr>
        <w:t>“</w:t>
      </w:r>
      <w:r>
        <w:rPr>
          <w:rFonts w:ascii="Times New Roman;serif" w:hAnsi="Times New Roman;serif"/>
          <w:b w:val="false"/>
          <w:i/>
          <w:color w:val="000000"/>
          <w:sz w:val="20"/>
        </w:rPr>
        <w:t>Award</w:t>
      </w:r>
      <w:r>
        <w:rPr>
          <w:color w:val="000000"/>
        </w:rPr>
        <w:t xml:space="preserve">” </w:t>
      </w:r>
      <w:r>
        <w:rPr>
          <w:rFonts w:ascii="Times New Roman;serif" w:hAnsi="Times New Roman;serif"/>
          <w:b w:val="false"/>
          <w:color w:val="000000"/>
          <w:sz w:val="20"/>
        </w:rPr>
        <w:t>means any Option, Stock Appreciation Right, Restricted Share, Restricted Share Unit, or Other Stock-Based Award.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w:t>
      </w:r>
      <w:r>
        <w:rPr>
          <w:color w:val="000000"/>
        </w:rPr>
        <w:t>“</w:t>
      </w:r>
      <w:r>
        <w:rPr>
          <w:rFonts w:ascii="Times New Roman;serif" w:hAnsi="Times New Roman;serif"/>
          <w:b w:val="false"/>
          <w:i/>
          <w:color w:val="000000"/>
          <w:sz w:val="20"/>
        </w:rPr>
        <w:t>Board</w:t>
      </w:r>
      <w:r>
        <w:rPr>
          <w:color w:val="000000"/>
        </w:rPr>
        <w:t xml:space="preserve">” </w:t>
      </w:r>
      <w:r>
        <w:rPr>
          <w:rFonts w:ascii="Times New Roman;serif" w:hAnsi="Times New Roman;serif"/>
          <w:b w:val="false"/>
          <w:color w:val="000000"/>
          <w:sz w:val="20"/>
        </w:rPr>
        <w:t>means the Board of Directors of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w:t>
      </w:r>
      <w:r>
        <w:rPr>
          <w:color w:val="000000"/>
        </w:rPr>
        <w:t>“</w:t>
      </w:r>
      <w:r>
        <w:rPr>
          <w:rFonts w:ascii="Times New Roman;serif" w:hAnsi="Times New Roman;serif"/>
          <w:b w:val="false"/>
          <w:i/>
          <w:color w:val="000000"/>
          <w:sz w:val="20"/>
        </w:rPr>
        <w:t>Code</w:t>
      </w:r>
      <w:r>
        <w:rPr>
          <w:color w:val="000000"/>
        </w:rPr>
        <w:t xml:space="preserve">” </w:t>
      </w:r>
      <w:r>
        <w:rPr>
          <w:rFonts w:ascii="Times New Roman;serif" w:hAnsi="Times New Roman;serif"/>
          <w:b w:val="false"/>
          <w:color w:val="000000"/>
          <w:sz w:val="20"/>
        </w:rPr>
        <w:t>means the Internal Revenue Code of 1986, as amended from time to time.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w:t>
      </w:r>
      <w:r>
        <w:rPr>
          <w:color w:val="000000"/>
        </w:rPr>
        <w:t>“</w:t>
      </w:r>
      <w:r>
        <w:rPr>
          <w:rFonts w:ascii="Times New Roman;serif" w:hAnsi="Times New Roman;serif"/>
          <w:b w:val="false"/>
          <w:i/>
          <w:color w:val="000000"/>
          <w:sz w:val="20"/>
        </w:rPr>
        <w:t>Committee</w:t>
      </w:r>
      <w:r>
        <w:rPr>
          <w:color w:val="000000"/>
        </w:rPr>
        <w:t xml:space="preserve">” </w:t>
      </w:r>
      <w:r>
        <w:rPr>
          <w:rFonts w:ascii="Times New Roman;serif" w:hAnsi="Times New Roman;serif"/>
          <w:b w:val="false"/>
          <w:color w:val="000000"/>
          <w:sz w:val="20"/>
        </w:rPr>
        <w:t xml:space="preserve">means a committee of the Board charged with administering the Plan as described in Section 4.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w:t>
      </w:r>
      <w:r>
        <w:rPr>
          <w:color w:val="000000"/>
        </w:rPr>
        <w:t>“</w:t>
      </w:r>
      <w:r>
        <w:rPr>
          <w:rFonts w:ascii="Times New Roman;serif" w:hAnsi="Times New Roman;serif"/>
          <w:b w:val="false"/>
          <w:i/>
          <w:color w:val="000000"/>
          <w:sz w:val="20"/>
        </w:rPr>
        <w:t>Company</w:t>
      </w:r>
      <w:r>
        <w:rPr>
          <w:color w:val="000000"/>
        </w:rPr>
        <w:t xml:space="preserve">” </w:t>
      </w:r>
      <w:r>
        <w:rPr>
          <w:rFonts w:ascii="Times New Roman;serif" w:hAnsi="Times New Roman;serif"/>
          <w:b w:val="false"/>
          <w:color w:val="000000"/>
          <w:sz w:val="20"/>
        </w:rPr>
        <w:t>means Oxford Industries, Inc., a Georgia corporation, or any successor corporation.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w:t>
      </w:r>
      <w:r>
        <w:rPr>
          <w:color w:val="000000"/>
        </w:rPr>
        <w:t>“</w:t>
      </w:r>
      <w:r>
        <w:rPr>
          <w:rFonts w:ascii="Times New Roman;serif" w:hAnsi="Times New Roman;serif"/>
          <w:b w:val="false"/>
          <w:i/>
          <w:color w:val="000000"/>
          <w:sz w:val="20"/>
        </w:rPr>
        <w:t>Director</w:t>
      </w:r>
      <w:r>
        <w:rPr>
          <w:color w:val="000000"/>
        </w:rPr>
        <w:t xml:space="preserve">” </w:t>
      </w:r>
      <w:r>
        <w:rPr>
          <w:rFonts w:ascii="Times New Roman;serif" w:hAnsi="Times New Roman;serif"/>
          <w:b w:val="false"/>
          <w:color w:val="000000"/>
          <w:sz w:val="20"/>
        </w:rPr>
        <w:t>means a member of the Board.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(g)</w:t>
      </w:r>
      <w:r>
        <w:rPr>
          <w:color w:val="000000"/>
        </w:rPr>
        <w:t>“</w:t>
      </w:r>
      <w:r>
        <w:rPr>
          <w:rFonts w:ascii="Times New Roman;serif" w:hAnsi="Times New Roman;serif"/>
          <w:b w:val="false"/>
          <w:i/>
          <w:color w:val="000000"/>
          <w:sz w:val="20"/>
        </w:rPr>
        <w:t>Employee</w:t>
      </w:r>
      <w:r>
        <w:rPr>
          <w:color w:val="000000"/>
        </w:rPr>
        <w:t xml:space="preserve">” </w:t>
      </w:r>
      <w:r>
        <w:rPr>
          <w:rFonts w:ascii="Times New Roman;serif" w:hAnsi="Times New Roman;serif"/>
          <w:b w:val="false"/>
          <w:color w:val="000000"/>
          <w:sz w:val="20"/>
        </w:rPr>
        <w:t>means any person, including an officer, employed by the Company or a Subsidiary.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(h)</w:t>
      </w:r>
      <w:r>
        <w:rPr>
          <w:color w:val="000000"/>
        </w:rPr>
        <w:t>“</w:t>
      </w:r>
      <w:r>
        <w:rPr>
          <w:rFonts w:ascii="Times New Roman;serif" w:hAnsi="Times New Roman;serif"/>
          <w:b w:val="false"/>
          <w:i/>
          <w:color w:val="000000"/>
          <w:sz w:val="20"/>
        </w:rPr>
        <w:t>Fair Market Value</w:t>
      </w:r>
      <w:r>
        <w:rPr>
          <w:color w:val="000000"/>
        </w:rPr>
        <w:t xml:space="preserve">” </w:t>
      </w:r>
      <w:r>
        <w:rPr>
          <w:rFonts w:ascii="Times New Roman;serif" w:hAnsi="Times New Roman;serif"/>
          <w:b w:val="false"/>
          <w:color w:val="000000"/>
          <w:sz w:val="20"/>
        </w:rPr>
        <w:t>means the fair market value of the Shares as determined by the Committee from time to time in a manner consistent with the requirements of Section 409A of the Code. Unless otherwise specified in the terms of an Award, Fair Market Value shall mean the closing price for the Shares reported on a consolidated basis on the New York Stock Exchange on the last day prior to the date in question or, if there were no sales on such date, the closing price on the nearest preceding date on which sales occurred.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w:t>
      </w:r>
      <w:r>
        <w:rPr>
          <w:color w:val="000000"/>
        </w:rPr>
        <w:t>“</w:t>
      </w:r>
      <w:r>
        <w:rPr>
          <w:rFonts w:ascii="Times New Roman;serif" w:hAnsi="Times New Roman;serif"/>
          <w:b w:val="false"/>
          <w:i/>
          <w:color w:val="000000"/>
          <w:sz w:val="20"/>
        </w:rPr>
        <w:t>Grant Date</w:t>
      </w:r>
      <w:r>
        <w:rPr>
          <w:color w:val="000000"/>
        </w:rPr>
        <w:t xml:space="preserve">” </w:t>
      </w:r>
      <w:r>
        <w:rPr>
          <w:rFonts w:ascii="Times New Roman;serif" w:hAnsi="Times New Roman;serif"/>
          <w:b w:val="false"/>
          <w:color w:val="000000"/>
          <w:sz w:val="20"/>
        </w:rPr>
        <w:t xml:space="preserve">means the date specified by the Committee on which a grant of an Award shall become effective, which shall not be earlier than the date on which the Committee completes the corporate action with respect thereto.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(j)</w:t>
      </w:r>
      <w:r>
        <w:rPr>
          <w:color w:val="000000"/>
        </w:rPr>
        <w:t>“</w:t>
      </w:r>
      <w:r>
        <w:rPr>
          <w:rFonts w:ascii="Times New Roman;serif" w:hAnsi="Times New Roman;serif"/>
          <w:b w:val="false"/>
          <w:i/>
          <w:color w:val="000000"/>
          <w:sz w:val="20"/>
        </w:rPr>
        <w:t>Option</w:t>
      </w:r>
      <w:r>
        <w:rPr>
          <w:color w:val="000000"/>
        </w:rPr>
        <w:t xml:space="preserve">” </w:t>
      </w:r>
      <w:r>
        <w:rPr>
          <w:rFonts w:ascii="Times New Roman;serif" w:hAnsi="Times New Roman;serif"/>
          <w:b w:val="false"/>
          <w:color w:val="000000"/>
          <w:sz w:val="20"/>
        </w:rPr>
        <w:t>means any option to purchase Shares granted under Section 5 of this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(k)</w:t>
      </w:r>
      <w:r>
        <w:rPr>
          <w:color w:val="000000"/>
        </w:rPr>
        <w:t>“</w:t>
      </w:r>
      <w:r>
        <w:rPr>
          <w:rFonts w:ascii="Times New Roman;serif" w:hAnsi="Times New Roman;serif"/>
          <w:b w:val="false"/>
          <w:i/>
          <w:color w:val="000000"/>
          <w:sz w:val="20"/>
        </w:rPr>
        <w:t>Optionee</w:t>
      </w:r>
      <w:r>
        <w:rPr>
          <w:color w:val="000000"/>
        </w:rPr>
        <w:t xml:space="preserve">” </w:t>
      </w:r>
      <w:r>
        <w:rPr>
          <w:rFonts w:ascii="Times New Roman;serif" w:hAnsi="Times New Roman;serif"/>
          <w:b w:val="false"/>
          <w:color w:val="000000"/>
          <w:sz w:val="20"/>
        </w:rPr>
        <w:t>means the person so designated in an agreement evidencing an outstanding Option.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(l)</w:t>
      </w:r>
      <w:r>
        <w:rPr>
          <w:color w:val="000000"/>
        </w:rPr>
        <w:t>“</w:t>
      </w:r>
      <w:r>
        <w:rPr>
          <w:rFonts w:ascii="Times New Roman;serif" w:hAnsi="Times New Roman;serif"/>
          <w:b w:val="false"/>
          <w:i/>
          <w:color w:val="000000"/>
          <w:sz w:val="20"/>
        </w:rPr>
        <w:t>Other Stock-Based Award”</w:t>
      </w:r>
      <w:r>
        <w:rPr>
          <w:color w:val="000000"/>
        </w:rPr>
        <w:t xml:space="preserve"> </w:t>
      </w:r>
      <w:r>
        <w:rPr>
          <w:rFonts w:ascii="Times New Roman;serif" w:hAnsi="Times New Roman;serif"/>
          <w:b w:val="false"/>
          <w:color w:val="000000"/>
          <w:sz w:val="20"/>
        </w:rPr>
        <w:t>means a right granted under Section 9 of this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(m)</w:t>
      </w:r>
      <w:r>
        <w:rPr>
          <w:color w:val="000000"/>
        </w:rPr>
        <w:t>“</w:t>
      </w:r>
      <w:r>
        <w:rPr>
          <w:rFonts w:ascii="Times New Roman;serif" w:hAnsi="Times New Roman;serif"/>
          <w:b w:val="false"/>
          <w:i/>
          <w:color w:val="000000"/>
          <w:sz w:val="20"/>
        </w:rPr>
        <w:t>Participant</w:t>
      </w:r>
      <w:r>
        <w:rPr>
          <w:color w:val="000000"/>
        </w:rPr>
        <w:t xml:space="preserve">” </w:t>
      </w:r>
      <w:r>
        <w:rPr>
          <w:rFonts w:ascii="Times New Roman;serif" w:hAnsi="Times New Roman;serif"/>
          <w:b w:val="false"/>
          <w:color w:val="000000"/>
          <w:sz w:val="20"/>
        </w:rPr>
        <w:t>means an Employee or nonemployee Director who is selected by the Committee to receive benefits under this Plan, provided that nonemployee Directors shall not be eligible to receive grants of incentive stock options as defined in Section 422 of the Code.</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0"/>
        </w:rPr>
        <w:t>(n)</w:t>
      </w:r>
      <w:r>
        <w:rPr>
          <w:color w:val="000000"/>
        </w:rPr>
        <w:t>“</w:t>
      </w:r>
      <w:r>
        <w:rPr>
          <w:rFonts w:ascii="Times New Roman;serif" w:hAnsi="Times New Roman;serif"/>
          <w:b w:val="false"/>
          <w:i/>
          <w:color w:val="000000"/>
          <w:sz w:val="20"/>
        </w:rPr>
        <w:t>Performance Objectives</w:t>
      </w:r>
      <w:r>
        <w:rPr>
          <w:color w:val="000000"/>
        </w:rPr>
        <w:t xml:space="preserve">” </w:t>
      </w:r>
      <w:r>
        <w:rPr>
          <w:rFonts w:ascii="Times New Roman;serif" w:hAnsi="Times New Roman;serif"/>
          <w:b w:val="false"/>
          <w:color w:val="000000"/>
          <w:sz w:val="20"/>
        </w:rPr>
        <w:t xml:space="preserve">means the performance criteria that may be established pursuant to this Plan for Participants who have received grants of Restricted Shares, Restricted Share Units or Other Stock-Based Awards. Performance Objectives may include, but are not limited to, the achievement of a specified target, or target growth in, one or more of the following: (i) earnings before interest expense, taxes, depreciation and amortization (“EBITDA”); (ii) earnings before interest expense and taxes (“EBIT”); (iii) net earnings; (iv) net income; (v) operating income; (vi) earnings per share; (vii) book value per share; (viii) return on shareholders’ equity; (ix) capital expenditures; (x) expenses and expense ratio management; (xi) return on investment; (xii) improvements in capital structure; (xiii) profitability of an identifiable business unit or product; (xiv) maintenance or improvement of profit margins; (xv) stock price; (xvi) market share; (xvii) revenues or sales; (xviii) costs; (xix) cash flow; (xx) working capital; (xxi) return on (net) assets; (xxii) economic value added; (xxiii) gross or net profit before or after taxes; (xxiv) objectively determinable goals with respect to service or product delivery, service or product quality, inventory management, customer satisfaction, meeting budgets and/or retention of employees; or (xxv) total shareholder return or relative total shareholder return. Performance Objectives </w: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may relate to the Company and/or one or more of its subsidiaries, one or more of its divisions or units or any combination of the foregoing, on a consolidated or nonconsolidated basis, and may be applied on an absolute basis or be relative to one or more peer group companies or indices, or any combination thereof, all as the Committee determines.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w:t>
      </w:r>
      <w:r>
        <w:rPr>
          <w:color w:val="000000"/>
        </w:rPr>
        <w:t>“</w:t>
      </w:r>
      <w:r>
        <w:rPr>
          <w:rFonts w:ascii="Times New Roman;serif" w:hAnsi="Times New Roman;serif"/>
          <w:b w:val="false"/>
          <w:i/>
          <w:color w:val="000000"/>
          <w:sz w:val="20"/>
        </w:rPr>
        <w:t>Performance Period</w:t>
      </w:r>
      <w:r>
        <w:rPr>
          <w:color w:val="000000"/>
        </w:rPr>
        <w:t xml:space="preserve">” </w:t>
      </w:r>
      <w:r>
        <w:rPr>
          <w:rFonts w:ascii="Times New Roman;serif" w:hAnsi="Times New Roman;serif"/>
          <w:b w:val="false"/>
          <w:color w:val="000000"/>
          <w:sz w:val="20"/>
        </w:rPr>
        <w:t>means a period of time established under Sections 7 and 8 of this Plan within which the Performance Objectives relating to a Restricted Share or Restricted Share Unit are to be achieved.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(p)</w:t>
      </w:r>
      <w:r>
        <w:rPr>
          <w:color w:val="000000"/>
        </w:rPr>
        <w:t>“</w:t>
      </w:r>
      <w:r>
        <w:rPr>
          <w:rFonts w:ascii="Times New Roman;serif" w:hAnsi="Times New Roman;serif"/>
          <w:b w:val="false"/>
          <w:i/>
          <w:color w:val="000000"/>
          <w:sz w:val="20"/>
        </w:rPr>
        <w:t>Restricted Share</w:t>
      </w:r>
      <w:r>
        <w:rPr>
          <w:color w:val="000000"/>
        </w:rPr>
        <w:t xml:space="preserve">” </w:t>
      </w:r>
      <w:r>
        <w:rPr>
          <w:rFonts w:ascii="Times New Roman;serif" w:hAnsi="Times New Roman;serif"/>
          <w:b w:val="false"/>
          <w:color w:val="000000"/>
          <w:sz w:val="20"/>
        </w:rPr>
        <w:t>means a Share granted under Section 7 of this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(q)</w:t>
      </w:r>
      <w:r>
        <w:rPr>
          <w:color w:val="000000"/>
        </w:rPr>
        <w:t>“</w:t>
      </w:r>
      <w:r>
        <w:rPr>
          <w:rFonts w:ascii="Times New Roman;serif" w:hAnsi="Times New Roman;serif"/>
          <w:b w:val="false"/>
          <w:i/>
          <w:color w:val="000000"/>
          <w:sz w:val="20"/>
        </w:rPr>
        <w:t>Restricted Share Unit</w:t>
      </w:r>
      <w:r>
        <w:rPr>
          <w:color w:val="000000"/>
        </w:rPr>
        <w:t xml:space="preserve">” </w:t>
      </w:r>
      <w:r>
        <w:rPr>
          <w:rFonts w:ascii="Times New Roman;serif" w:hAnsi="Times New Roman;serif"/>
          <w:b w:val="false"/>
          <w:color w:val="000000"/>
          <w:sz w:val="20"/>
        </w:rPr>
        <w:t>means a bookkeeping entry that records the equivalent of one Restricted Share awarded pursuant to Section 8 of this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(r)</w:t>
      </w:r>
      <w:r>
        <w:rPr>
          <w:color w:val="000000"/>
        </w:rPr>
        <w:t>“</w:t>
      </w:r>
      <w:r>
        <w:rPr>
          <w:rFonts w:ascii="Times New Roman;serif" w:hAnsi="Times New Roman;serif"/>
          <w:b w:val="false"/>
          <w:i/>
          <w:color w:val="000000"/>
          <w:sz w:val="20"/>
        </w:rPr>
        <w:t>Shares</w:t>
      </w:r>
      <w:r>
        <w:rPr>
          <w:color w:val="000000"/>
        </w:rPr>
        <w:t xml:space="preserve">” </w:t>
      </w:r>
      <w:r>
        <w:rPr>
          <w:rFonts w:ascii="Times New Roman;serif" w:hAnsi="Times New Roman;serif"/>
          <w:b w:val="false"/>
          <w:color w:val="000000"/>
          <w:sz w:val="20"/>
        </w:rPr>
        <w:t>means shares of the Common Stock of the Company, $1.00 par value, or any security into which Shares may be converted by reason of any transaction or event of the type referred to in Section 11 of this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w:t>
      </w:r>
      <w:r>
        <w:rPr>
          <w:color w:val="000000"/>
        </w:rPr>
        <w:t>“</w:t>
      </w:r>
      <w:r>
        <w:rPr>
          <w:rFonts w:ascii="Times New Roman;serif" w:hAnsi="Times New Roman;serif"/>
          <w:b w:val="false"/>
          <w:i/>
          <w:color w:val="000000"/>
          <w:sz w:val="20"/>
        </w:rPr>
        <w:t>Stock Appreciation Right</w:t>
      </w:r>
      <w:r>
        <w:rPr>
          <w:color w:val="000000"/>
        </w:rPr>
        <w:t xml:space="preserve">” </w:t>
      </w:r>
      <w:r>
        <w:rPr>
          <w:rFonts w:ascii="Times New Roman;serif" w:hAnsi="Times New Roman;serif"/>
          <w:b w:val="false"/>
          <w:color w:val="000000"/>
          <w:sz w:val="20"/>
        </w:rPr>
        <w:t>means a right granted under Section 6 of this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w:t>
      </w:r>
      <w:r>
        <w:rPr>
          <w:color w:val="000000"/>
        </w:rPr>
        <w:t>“</w:t>
      </w:r>
      <w:r>
        <w:rPr>
          <w:rFonts w:ascii="Times New Roman;serif" w:hAnsi="Times New Roman;serif"/>
          <w:b w:val="false"/>
          <w:i/>
          <w:color w:val="000000"/>
          <w:sz w:val="20"/>
        </w:rPr>
        <w:t>Subsidiary</w:t>
      </w:r>
      <w:r>
        <w:rPr>
          <w:color w:val="000000"/>
        </w:rPr>
        <w:t xml:space="preserve">” </w:t>
      </w:r>
      <w:r>
        <w:rPr>
          <w:rFonts w:ascii="Times New Roman;serif" w:hAnsi="Times New Roman;serif"/>
          <w:b w:val="false"/>
          <w:color w:val="000000"/>
          <w:sz w:val="20"/>
        </w:rPr>
        <w:t>means a corporation or other entity (i) more than 50 percent of whose outstanding shares or securities (representing the right to vote for the election of Directors or other managing authority) are, or (ii) which does not have outstanding shares or securities (as may be the case in a partnership, joint venture or unincorporated association), but more than 50 percent of whose ownership interest (representing the right generally to make decisions for such other entity) is, now or hereafter owned or controlled directly or indirectly by the Company, provided that for purposes of determining whether any person may be a Participant for purposes of any grant of incentive stock options as defined in Section 422 of the Code, “Subsidiary” means any corporation in which the Company owns or controls directly or indirectly more than 50 percent of the total combined voting power represented by all classes of stock issued by such corporation at the time of such grant.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3.</w:t>
      </w:r>
      <w:r>
        <w:rPr>
          <w:rFonts w:ascii="Times New Roman;serif" w:hAnsi="Times New Roman;serif"/>
          <w:b w:val="false"/>
          <w:i/>
          <w:color w:val="000000"/>
          <w:sz w:val="20"/>
        </w:rPr>
        <w:t>Shares Available Under the Plan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Subject to adjustment as provided in Section 11 of this Plan, the number of Shares that may be (i) issued or transferred upon the exercise of Options or Stock Appreciation Rights, (ii) awarded as Restricted Shares and released from substantial risk of forfeiture, or (iii) issued or transferred in payment of Restricted Share Units or Other Stock-Based Awards shall not in the aggregate exceed 3,250,000 Shares. In no event, however, shall the number of Shares issued upon the exercise of incentive stock options as defined in Section 422 of the Code exceed 200,000 Shares, as adjusted pursuant to Section 11. Such Shares may be Shares of original issuance, Shares held in Treasury, or Shares that have been reacquired by the Company.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    With respect to Awards for which Shares were transferred to Participants upon payment of the Option price upon exercise of a nonqualified stock option by the transfer to the Company of Shares or upon satisfaction of tax withholding obligations under the Plan by the transfer or relinquishment of Shares, there shall be deemed to have been issued or transferred only the number of Shares actually issued or transferred by the Company, less the number of Shares so transferred or relinquished. Upon the payment in cash of a benefit provided by any Award under the Plan, any Shares that were subject to such Award shall again be available for issuance or transfer under the Plan. Notwithstanding the foregoing, after March 24, 2015, for any Shares which are (i) subject to an Award that are tendered to, or withheld by, the Company in payment of the exercise price of Options or Stock Appreciation Rights, (ii) subject to an Award and are relinquished, forfeited or otherwise tendered to the Company in satisfaction of tax and related withholding obligations, including as contemplated pursuant to Section 13 of this Plan, (iii) subject to a Stock Appreciation Right (to the extent that it is exercised and settled in Shares, without regard to the number of Shares issued to the Participant upon exercise), or (iv) repurchased by the Company with the proceeds from the exercise of an Option, all such Shares shall be deemed to have been issued for purposes of the limitations set forth in the first sentence of Section 3(a) of this Plan.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No Participant may receive Awards representing more than 300,000 Shares (as adjusted pursuant to Section 11) at the time the grant is made in any one calendar year.</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4.</w:t>
      </w:r>
      <w:r>
        <w:rPr>
          <w:rFonts w:ascii="Times New Roman;serif" w:hAnsi="Times New Roman;serif"/>
          <w:b w:val="false"/>
          <w:i/>
          <w:color w:val="000000"/>
          <w:sz w:val="20"/>
        </w:rPr>
        <w:t>Administration of the Plan; Delegation</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 xml:space="preserve">This Plan shall be administered by one or more committees appointed by the Board. The interpretation and construction by the Committee of any provision of this Plan or of any agreement or document evidencing the grant of any Award and any determination by the Committee pursuant to any provision of this Plan or any such agreement, notification or document, shall be </w: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final and conclusive. No member of the Committee shall be liable to any person for any such action taken or determination made in good faith.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The Committee may, by resolution, delegate to the Company’s Chief Executive Officer (or such other officer(s) or management committee as the Committee may designate) the authority to grant Awards to Employees under the Plan and to take such other actions as the Committee may specify in such resolution (the “Delegation”). Any Delegation shall be made in accordance with applicable law and shall be subject to such limitations and conditions as the Committee may establish, including without limitation: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(i)the maximum number of Shares that may be subject to Awards granted pursuant to the Delegation (the “Delegated Share Pool”), which under Awards pursuant to the Delegated Share Pool in any calendar year shall not exceed 25,000 Shares;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(ii)the period during which the Delegation shall be effective, which shall not exceed one (1) year from the effective date of the Delegation unless and until renewed by the Committee;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(iii)eligibility limitations (which shall exclude the Chief Executive Officer, any Board-designated executive officers of the Company and any other persons the Committee may determine);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(iv)Award types permitted and minimum vesting and other terms (which shall be consistent with the Plan); and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(v)reporting requirements, including that all Awards granted pursuant to the Delegation shall be reported to the Committee at its next regularly scheduled meeting (or earlier, if the Committee so requires).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For the avoidance of doubt, (x) all Awards granted pursuant to the Delegation shall be subject to, and shall be granted in accordance with, the terms of the Plan and shall reduce the Shares available for issuance under Section 3(a), (y) the per-Participant annual limitation in Section 3(c) shall apply to Awards granted pursuant to the Delegation, and (z) the Committee shall not authorize any officer to designate themselves as the recipient of any Award.</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5.</w:t>
      </w:r>
      <w:r>
        <w:rPr>
          <w:rFonts w:ascii="Times New Roman;serif" w:hAnsi="Times New Roman;serif"/>
          <w:b w:val="false"/>
          <w:i/>
          <w:color w:val="000000"/>
          <w:sz w:val="20"/>
        </w:rPr>
        <w:t>Options</w:t>
      </w:r>
      <w:r>
        <w:rPr>
          <w:rFonts w:ascii="Times New Roman;serif" w:hAnsi="Times New Roman;serif"/>
          <w:b w:val="false"/>
          <w:color w:val="000000"/>
          <w:sz w:val="20"/>
        </w:rPr>
        <w:t>. The Committee may from time to time authorize grants to Participants of Options upon such terms and conditions as the Committee may determine in accordance with the following provisions: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Each grant shall specify the number of Shares to which it pertains.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Each grant shall specify an Option price per Share, which shall be equal to or greater than the Fair Market Value on the Grant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Each grant shall specify the form of consideration to be paid in satisfaction of the Option price and the manner of payment of such consideration, which may include (i) cash in the form of currency or check or other cash equivalent acceptable to the Company, (ii) nonforfeitable, unrestricted Shares owned by the Optionee which have a value at the time of exercise that is equal to the Option price, (iii) any other legal consideration that the Committee may deem appropriate on such basis as the Committee may determine in accordance with this Plan, or (iv) any combination of the foregoing.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 xml:space="preserve">Each Option grant may specify a period of continuous employment of the Optionee by the Company or any Subsidiary (or, in the case of a nonemployee Director, service on the Board) that is necessary before the Options or installments thereof shall become exercisable, and any grant may provide for the earlier exercise of such rights in the event of a change in control of the Company or other similar transaction or event or the Participant’s termination of employment due to death, disability, or normal or early retirement. Without limitation of the foregoing but subject to the Committee’s discretion to include a provision permitting earlier exercise in the event of a change in control of the Company or other similar transaction or event or the Participant’s termination of employment due to death, disability, or normal or early retirement, no Option grant to an Employee on or after March 24, 2015 shall permit such Employee to exercise any portion of the Option prior to the one year anniversary of the Grant Date of the Option. </w:t>
      </w:r>
    </w:p>
    <w:p>
      <w:pPr>
        <w:pStyle w:val="TextBody"/>
        <w:bidi w:val="0"/>
        <w:spacing w:before="0" w:after="0"/>
        <w:ind w:left="0" w:right="0" w:firstLine="720"/>
        <w:jc w:val="left"/>
        <w:rPr/>
      </w:pPr>
      <w:r>
        <w:rPr/>
      </w:r>
    </w:p>
    <w:p>
      <w:pPr>
        <w:pStyle w:val="TextBody"/>
        <w:bidi w:val="0"/>
        <w:spacing w:lineRule="auto" w:line="288"/>
        <w:ind w:left="0" w:right="0" w:firstLine="720"/>
        <w:jc w:val="both"/>
        <w:rPr/>
      </w:pPr>
      <w:r>
        <w:rPr>
          <w:rFonts w:ascii="Times New Roman;serif" w:hAnsi="Times New Roman;serif"/>
          <w:b w:val="false"/>
          <w:color w:val="000000"/>
          <w:sz w:val="20"/>
        </w:rPr>
        <w:t>(e)</w:t>
      </w:r>
      <w:r>
        <w:rPr>
          <w:rFonts w:ascii="Times New Roman;serif" w:hAnsi="Times New Roman;serif"/>
          <w:b w:val="false"/>
          <w:color w:val="000000"/>
          <w:sz w:val="20"/>
        </w:rPr>
        <w:t xml:space="preserve">Options granted under this Plan may be incentive stock options as defined in Section 422 of the Code, nonqualified stock options (i.e., any option that is not designated as intended to qualify as an incentive stock option), or a combination of the foregoing, provided that only nonqualified stock options may be granted to nonemployee Directors. Each grant shall specify whether (or the extent to which) the Option is an incentive stock option or a nonqualified stock option. Notwithstanding any such designation, to the extent that the aggregate Fair Market Value of the Shares with respect to which Options designated as incentive stock options are exercisable for the first time by an Optionee during any calendar year (under all plans of the Company) exceeds $100,000, such </w: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Options shall be treated as nonqualified stock options. No Option granted under this Plan may be exercised more than ten years from the Grant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w:t>
      </w:r>
      <w:r>
        <w:rPr>
          <w:rFonts w:ascii="Times New Roman;serif" w:hAnsi="Times New Roman;serif"/>
          <w:b w:val="false"/>
          <w:color w:val="000000"/>
          <w:sz w:val="20"/>
        </w:rPr>
        <w:t>Each grant shall be evidenced by an agreement or other form of notice of the Award delivered to the Optionee and containing such terms and provisions as the Committee may determine consistent with this Plan.</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6.</w:t>
      </w:r>
      <w:r>
        <w:rPr>
          <w:rFonts w:ascii="Times New Roman;serif" w:hAnsi="Times New Roman;serif"/>
          <w:b w:val="false"/>
          <w:i/>
          <w:color w:val="000000"/>
          <w:sz w:val="20"/>
        </w:rPr>
        <w:t>Stock Appreciation Rights</w:t>
      </w:r>
      <w:r>
        <w:rPr>
          <w:rFonts w:ascii="Times New Roman;serif" w:hAnsi="Times New Roman;serif"/>
          <w:b w:val="false"/>
          <w:color w:val="000000"/>
          <w:sz w:val="20"/>
        </w:rPr>
        <w:t>. The Committee may from time to time authorize grants to Participants of Stock Appreciation Rights. A Stock Appreciation Right is the right of the Participant to receive from the Company an amount, which shall be determined by the Committee and shall be expressed as a percentage (not exceeding 100 percent) of the difference between the Fair Market Value of the Shares on the Grant Date and the Fair Market Value of the Shares on the date of exercise. Any grant of Stock Appreciation Rights under this Plan shall be upon such terms and conditions as the Committee may determine in accordance with the following provisions: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Any grant may specify that the amount payable upon the exercise of a Stock Appreciation Right may be paid by the Company in cash, Shares or any combination thereof and may (i) either grant to the Participant or reserve to the Committee the right to elect among those alternatives or (ii) preclude the right of the Participant to receive and the Company to issue Shares or other equity securities in lieu of cash.</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Any grant may specify that the amount payable upon the exercise of a Stock Appreciation Right shall not exceed a maximum specified by the Committee on the Grant Date.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Each grant shall be evidenced by an agreement or other form of notice of the Award delivered to the Participant, which shall describe the subject Stock Appreciation Rights, state that the Stock Appreciation Rights are subject to all of the terms and conditions of this Plan and contain such other terms and provisions as the Committee may determine consistent with this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Each grant shall specify in respect of each Stock Appreciation Right the Fair Market Value on the Grant Date.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w:t>
      </w:r>
      <w:r>
        <w:rPr>
          <w:rFonts w:ascii="Times New Roman;serif" w:hAnsi="Times New Roman;serif"/>
          <w:b w:val="false"/>
          <w:color w:val="000000"/>
          <w:sz w:val="20"/>
        </w:rPr>
        <w:t>Successive grants may be made to the same Participant regardless of whether any Stock Appreciation Rights previously granted to such Participant remain unexercised.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w:t>
      </w:r>
      <w:r>
        <w:rPr>
          <w:rFonts w:ascii="Times New Roman;serif" w:hAnsi="Times New Roman;serif"/>
          <w:b w:val="false"/>
          <w:color w:val="000000"/>
          <w:sz w:val="20"/>
        </w:rPr>
        <w:t>Each grant shall specify the period or periods of continuous employment (or, in the case of a nonemployee Director, service on the Board) of the Participant by the Company or any Subsidiary that are necessary before the Stock Appreciation Rights or installments thereof shall become exercisable, as well as the permissible dates or periods on or during which Stock Appreciation Rights shall be exercisable. Any grant may provide for the earlier exercise of such rights in the event of a change in control of the Company or other similar transaction or event or the Participant’s termination of employment due to death, disability, or normal or early retirement. Without limitation of the foregoing but subject to the Committee’s discretion to include a provision permitting earlier exercise in the event of a change in control of the Company or other similar transaction or event or the Participant’s termination of employment due to death, disability, or normal or early retirement, no Stock Appreciation Right granted to an Employee on or after March 24, 2015 shall permit such Employee to exercise any portion of the Stock Appreciation Right prior to the one year anniversary of the Grant Date of the Stock Appreciation Right.</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7.</w:t>
      </w:r>
      <w:r>
        <w:rPr>
          <w:rFonts w:ascii="Times New Roman;serif" w:hAnsi="Times New Roman;serif"/>
          <w:b w:val="false"/>
          <w:i/>
          <w:color w:val="000000"/>
          <w:sz w:val="20"/>
        </w:rPr>
        <w:t>Restricted Shares</w:t>
      </w:r>
      <w:r>
        <w:rPr>
          <w:rFonts w:ascii="Times New Roman;serif" w:hAnsi="Times New Roman;serif"/>
          <w:b w:val="false"/>
          <w:color w:val="000000"/>
          <w:sz w:val="20"/>
        </w:rPr>
        <w:t>. The Committee may from time to time authorize grants to Participants of one or more Restricted Shares upon such terms and conditions as the Committee may determine in accordance with the following provisions: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Each grant shall constitute a transfer of the ownership of Shares to the Participant in consideration of the performance of services.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Each grant may be made without additional consideration from the Participant or in consideration of a payment by the Participant that is less than the Fair Market Value on the Grant Date.</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 xml:space="preserve">Each grant may provide that the Restricted Shares covered thereby shall be subject to a substantial risk of forfeiture within the meaning of Section 83 of the Code for a period to be determined by the Committee on the Grant Date, and any grant or sale may provide for the earlier termination of such risk of forfeiture in the event of a change in control of the Company or other similar transaction or event or the Participant’s termination of employment due to death, disability, or normal or early retirement. Without limitation of the foregoing but subject to the Committee’s discretion to include a provision permitting earlier exercise in the event of a change in control of the Company or other similar transaction or event or the Participant’s termination of employment due to death, disability, or normal or early retirement, Restricted Shares granted to an Employee on or after March 24, 2015 shall be subject to a </w: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substantial risk of forfeiture for at least one year following the applicable Grant Date except for any performance awards to an Employee which is settled in Restricted Shares, for which the foregoing one year period shall be inclusive of any performance period with respect to such award combined with any period of a substantial risk of forfeiture.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Unless otherwise determined by the Committee, an award of Restricted Shares shall entitle the Participant to dividend, voting and other ownership rights, during the period for which such substantial risk of forfeiture is to continue.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w:t>
      </w:r>
      <w:r>
        <w:rPr>
          <w:rFonts w:ascii="Times New Roman;serif" w:hAnsi="Times New Roman;serif"/>
          <w:b w:val="false"/>
          <w:color w:val="000000"/>
          <w:sz w:val="20"/>
        </w:rPr>
        <w:t>Each grant shall provide that, during the period for which a substantial risk of forfeiture is to continue, the transferability of the Restricted Shares shall be prohibited or restricted in the manner and to the extent prescribed by the Committee on the Grant Date. Such restrictions may include, without limitation, rights of repurchase or first refusal in the Company or provisions subjecting the Restricted Shares to a continuing substantial risk of forfeiture in the hands of any transferee.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w:t>
      </w:r>
      <w:r>
        <w:rPr>
          <w:rFonts w:ascii="Times New Roman;serif" w:hAnsi="Times New Roman;serif"/>
          <w:b w:val="false"/>
          <w:color w:val="000000"/>
          <w:sz w:val="20"/>
        </w:rPr>
        <w:t>Any grant or the vesting thereof may be conditioned upon or further conditioned upon the attainment of Performance Objectives during a Performance Period as established by the Committee.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(g)</w:t>
      </w:r>
      <w:r>
        <w:rPr>
          <w:rFonts w:ascii="Times New Roman;serif" w:hAnsi="Times New Roman;serif"/>
          <w:b w:val="false"/>
          <w:color w:val="000000"/>
          <w:sz w:val="20"/>
        </w:rPr>
        <w:t xml:space="preserve">Any grant may require that any or all dividends or other distributions paid on the Restricted Shares during the period of such restrictions be automatically sequestered and reinvested on an immediate or deferred basis in additional Shares, which may be subject to the same restrictions as the underlying Award or such other restrictions as the Committee may determine.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(h)</w:t>
      </w:r>
      <w:r>
        <w:rPr>
          <w:rFonts w:ascii="Times New Roman;serif" w:hAnsi="Times New Roman;serif"/>
          <w:b w:val="false"/>
          <w:color w:val="000000"/>
          <w:sz w:val="20"/>
        </w:rPr>
        <w:t>Each grant shall be evidenced by an agreement or other form of notice of the Award delivered to the Participant and containing such terms and provisions as the Committee may determine consistent with this Plan. Unless otherwise directed by the Committee, all certificates representing Restricted Shares, together with a stock power that shall be endorsed in blank by the Participant with respect to such Shares, shall be held in custody by the Company until all restrictions thereon lapse.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8.</w:t>
      </w:r>
      <w:r>
        <w:rPr>
          <w:rFonts w:ascii="Times New Roman;serif" w:hAnsi="Times New Roman;serif"/>
          <w:b w:val="false"/>
          <w:i/>
          <w:color w:val="000000"/>
          <w:sz w:val="20"/>
        </w:rPr>
        <w:t>Restricted Share Units</w:t>
      </w:r>
      <w:r>
        <w:rPr>
          <w:rFonts w:ascii="Times New Roman;serif" w:hAnsi="Times New Roman;serif"/>
          <w:b w:val="false"/>
          <w:color w:val="000000"/>
          <w:sz w:val="20"/>
        </w:rPr>
        <w:t>. The Committee may from time to time authorize grants of Restricted Share Units upon such terms and conditions as the Committee may determine in accordance with the following provisions: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Each grant shall specify the number of Restricted Share Units to which it pertains, which may be subject to adjustment to reflect changes in compensation or other factors.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The Performance Period with respect to each Restricted Share Unit, if any, may be subject to earlier termination in the event of a change in control of the Company or other similar transaction or event or the Participant’s termination of employment due to death, disability, or normal or early retirement.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Each grant may specify in respect of the specified Performance Objectives a minimum acceptable level of achievement below which no payment will be made and may set forth a formula for determining the amount of any payment to be made if performance is at or above such minimum acceptable level but falls short of the maximum achievement of the specified Performance Objectives.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 xml:space="preserve">Each grant shall specify the time and manner of payment of Restricted Share Units that shall have been earned, and any grant may specify that any such amount may be paid by the Company in cash, Shares or any combination thereof and may either grant to the Participant or reserve to the Committee the right to elect among those alternatives. Without limitation of the foregoing but subject to the Committee’s discretion to include a provision permitting earlier settlement in the event of a change in control of the Company or other similar transaction or event or the Participant’s termination of employment due to death, disability, or normal or early retirement, Restricted Share Units granted to an Employee on or after March 24, 2015 shall not be settled for a period of at least one year following the applicable Grant Date except for any performance award to an Employee which is settled in Restricted Share Units, for which the foregoing one year period shall be inclusive of any performance period with respect to such award combined with any additional period prior to settlement.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w:t>
      </w:r>
      <w:r>
        <w:rPr>
          <w:rFonts w:ascii="Times New Roman;serif" w:hAnsi="Times New Roman;serif"/>
          <w:b w:val="false"/>
          <w:color w:val="000000"/>
          <w:sz w:val="20"/>
        </w:rPr>
        <w:t>Any grant of Restricted Share Units may specify that the amount payable, or the number of Shares issued, with respect thereto may not exceed maximums specified by the Committee on the Grant Date.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w:t>
      </w:r>
      <w:r>
        <w:rPr>
          <w:rFonts w:ascii="Times New Roman;serif" w:hAnsi="Times New Roman;serif"/>
          <w:b w:val="false"/>
          <w:color w:val="000000"/>
          <w:sz w:val="20"/>
        </w:rPr>
        <w:t xml:space="preserve">Any grant of Restricted Share Units may provide for the payment to the Participant of dividend equivalents thereon in cash or additional Shares on a current, deferred or contingent basis. </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0"/>
        </w:rPr>
        <w:t>(g)</w:t>
      </w:r>
      <w:r>
        <w:rPr>
          <w:rFonts w:ascii="Times New Roman;serif" w:hAnsi="Times New Roman;serif"/>
          <w:b w:val="false"/>
          <w:color w:val="000000"/>
          <w:sz w:val="20"/>
        </w:rPr>
        <w:t xml:space="preserve">If provided in the terms of the grant, the Committee may adjust Performance Objectives and the related minimum acceptable level of achievement if, in the sole judgment of the Committee, events or transactions have occurred after the Grant Date </w: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that are unrelated to the performance of the Participant and result in distortion of the Performance Objectives or the related minimum acceptable level of achievement.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(h)</w:t>
      </w:r>
      <w:r>
        <w:rPr>
          <w:rFonts w:ascii="Times New Roman;serif" w:hAnsi="Times New Roman;serif"/>
          <w:b w:val="false"/>
          <w:color w:val="000000"/>
          <w:sz w:val="20"/>
        </w:rPr>
        <w:t>Each grant shall be evidenced by an agreement or other form of notice of the Award delivered to the Participant, which shall state that the Restricted Share Units are subject to all of the terms and conditions of this Plan and such other terms and provisions as the Committee may determine consistent with this Plan.</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9.</w:t>
      </w:r>
      <w:r>
        <w:rPr>
          <w:rFonts w:ascii="Times New Roman;serif" w:hAnsi="Times New Roman;serif"/>
          <w:b w:val="false"/>
          <w:i/>
          <w:color w:val="000000"/>
          <w:sz w:val="20"/>
        </w:rPr>
        <w:t>Other Stock-Based Awards</w:t>
      </w:r>
      <w:r>
        <w:rPr>
          <w:rFonts w:ascii="Times New Roman;serif" w:hAnsi="Times New Roman;serif"/>
          <w:b w:val="false"/>
          <w:color w:val="000000"/>
          <w:sz w:val="20"/>
        </w:rPr>
        <w:t>. The Committee may from time to time authorize grants of Shares and other Awards that are payable in cash or Shares and are valued in whole or in part by reference to, or are otherwise based in whole or in part on Shares or the value of Shares upon such terms and conditions as the Committee may determine in accordance with the following provisions: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Each grant shall specify the number of Shares to which it pertains, which may be subject to adjustment to reflect changes in compensation or other factors.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The Performance Period with respect to each Other Stock-Based Award, if any, may be subject to earlier termination in the event of a change in control of the Company or other similar transaction or event or the Participant’s termination of employment due to death, disability, or normal or early retirement.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Each grant may specify in respect of the specified Performance Objectives a minimum acceptable level of achievement below which no payment will be made and may set forth a formula for determining the amount of any payment to be made if performance is at or above such minimum acceptable level but falls short of the maximum achievement of the specified Performance Objectives.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 xml:space="preserve">Each grant shall specify the time and manner of payment of Other Stock-Based Awards that shall have been earned, and any grant may specify that any such amount may be paid by the Company in cash, Shares or any combination thereof and may either grant to the Participant or reserve to the Committee the right to elect among those alternatives. Without limitation of the foregoing but subject to the Committee’s discretion to include a provision permitting earlier exercise in the event of a change in control of the Company or other similar transaction or event or the Participant’s termination of employment due to death, disability, or normal or early retirement, Other Stock-Based Awards shall not be settled for a period of at least one year following the applicable Grant Date except for any performance award to an Employee which is settled in Other Stock-Based Awards, for which the foregoing one year period shall be inclusive of any performance period with respect to such award combined with any additional period prior to settlement.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w:t>
      </w:r>
      <w:r>
        <w:rPr>
          <w:rFonts w:ascii="Times New Roman;serif" w:hAnsi="Times New Roman;serif"/>
          <w:b w:val="false"/>
          <w:color w:val="000000"/>
          <w:sz w:val="20"/>
        </w:rPr>
        <w:t>Any grant of an Other Stock-Based Award may specify that the amount payable, or the number of Shares issued, with respect thereto may not exceed maximums specified by the Committee on the Grant Date.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w:t>
      </w:r>
      <w:r>
        <w:rPr>
          <w:rFonts w:ascii="Times New Roman;serif" w:hAnsi="Times New Roman;serif"/>
          <w:b w:val="false"/>
          <w:color w:val="000000"/>
          <w:sz w:val="20"/>
        </w:rPr>
        <w:t xml:space="preserve">Any grant of an Other Stock-Based Award may provide for the payment to the Participant of dividend equivalents thereon in cash or additional Shares on a current, deferred or contingent basis.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(g)</w:t>
      </w:r>
      <w:r>
        <w:rPr>
          <w:rFonts w:ascii="Times New Roman;serif" w:hAnsi="Times New Roman;serif"/>
          <w:b w:val="false"/>
          <w:color w:val="000000"/>
          <w:sz w:val="20"/>
        </w:rPr>
        <w:t xml:space="preserve">If provided in the terms of the grant, the Committee may adjust Performance Objectives and the related minimum acceptable level of achievement if, in the sole judgment of the Committee, events or transactions have occurred after the Grant Date that are unrelated to the performance of the Participant and result in distortion of the Performance Objectives or the related minimum acceptable level of achievement.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(h)</w:t>
      </w:r>
      <w:r>
        <w:rPr>
          <w:rFonts w:ascii="Times New Roman;serif" w:hAnsi="Times New Roman;serif"/>
          <w:b w:val="false"/>
          <w:color w:val="000000"/>
          <w:sz w:val="20"/>
        </w:rPr>
        <w:t>Each grant shall be evidenced by an agreement or other form of notice of the Award delivered to the Participant, which shall state that the Other Stock-Based Award is subject to all of the terms and conditions of this Plan and such other terms and provisions as the Committee may determine consistent with this Plan.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10.</w:t>
      </w:r>
      <w:r>
        <w:rPr>
          <w:rFonts w:ascii="Times New Roman;serif" w:hAnsi="Times New Roman;serif"/>
          <w:b w:val="false"/>
          <w:i/>
          <w:color w:val="000000"/>
          <w:sz w:val="20"/>
        </w:rPr>
        <w:t>Transferability</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Except as provided in Section 10(b), no Award granted under this Plan shall be transferable by a Participant other than by will or the laws of descent and distribution, and Options and Stock Appreciation Rights shall be exercisable during a Participant’s lifetime only by the Participant or, in the event of the Participant’s legal incapacity, by his guardian or legal representative acting in a fiduciary capacity on behalf of the Participant under state law. Any attempt to transfer an Award in violation of this Plan shall render such Award null and void.</w:t>
      </w:r>
    </w:p>
    <w:p>
      <w:pPr>
        <w:pStyle w:val="TextBody"/>
        <w:bidi w:val="0"/>
        <w:jc w:val="both"/>
        <w:rPr/>
      </w:pPr>
      <w:r>
        <w:rPr/>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The Committee may expressly provide in an Award agreement (or an amendment to an Award agreement) that a Participant may transfer such Award (other than an incentive stock option as defined in Section 422 of the Code), in whole or in part, to a spouse or lineal descendant (a “Family Member”), a trust for the exclusive benefit of Family Members, a partnership or other entity in which all the beneficial owners are Family Members, or any other entity affiliated with the Participant that may be approved by the Committee. Subsequent transfers of Awards shall be prohibited except in accordance with this Section 10(b). All terms and conditions of the Award, including provisions relating to the termination of the Participant’s employment or service with the Company or a Subsidiary, shall continue to apply following a transfer made in accordance with this Section 10(b).</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w:t>
      </w:r>
      <w:r>
        <w:rPr>
          <w:color w:val="000000"/>
        </w:rPr>
        <w:t>    </w:t>
      </w:r>
      <w:r>
        <w:rPr>
          <w:rFonts w:ascii="Times New Roman;serif" w:hAnsi="Times New Roman;serif"/>
          <w:b w:val="false"/>
          <w:color w:val="000000"/>
          <w:sz w:val="20"/>
        </w:rPr>
        <w:t>Any Award made under this Plan may provide that all or any part of the Shares that are (i) to be issued or transferred by the Company upon the exercise of Options or Stock Appreciation Rights or upon payment under any grant of Restricted Share Units, or (ii) no longer subject to the substantial risk of forfeiture and restrictions on transfer referred to in Section 7 of this Plan, shall be subject to further restrictions upon transfer.</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11.</w:t>
      </w:r>
      <w:r>
        <w:rPr>
          <w:rFonts w:ascii="Times New Roman;serif" w:hAnsi="Times New Roman;serif"/>
          <w:b w:val="false"/>
          <w:i/>
          <w:color w:val="000000"/>
          <w:sz w:val="20"/>
        </w:rPr>
        <w:t>Adjustments</w:t>
      </w:r>
      <w:r>
        <w:rPr>
          <w:rFonts w:ascii="Times New Roman;serif" w:hAnsi="Times New Roman;serif"/>
          <w:b w:val="false"/>
          <w:color w:val="000000"/>
          <w:sz w:val="20"/>
        </w:rPr>
        <w:t>. The Committee shall make or provide for such adjustments in the (a) number of Shares covered by outstanding Options, Stock Appreciation Rights, Restricted Shares and Restricted Share Units granted hereunder, (b) prices per share applicable to such Options and Stock Appreciation Rights, and (c) kind of Shares covered thereby, as the Committee in its sole discretion may in good faith determine to be equitably required in order to prevent dilution or enlargement of the rights of Participants that otherwise would result from (x) any stock dividend, stock split, recapitalization or other change in the capital structure of the Company, (y) any merger, consolidation, spin-off, spin-out, split-off, split-up, reorganization, or partial or complete liquidation or other distribution of assets (other than a normal cash dividend), or (z) any other event which would constitute an equity restructuring (as contemplated pursuant to the Code and the regulations promulgated thereunder). Without limiting the foregoing, the Committee may make or provide for such adjustments in the (a) number of Shares covered by outstanding Options, Stock Appreciation Rights, Restricted Shares and Restricted Share Units granted hereunder, (b) prices per share applicable to such Options and Stock Appreciation Rights, and (c) kind of Shares covered thereby, as the Committee in its sole discretion may in good faith determine to be equitably required in order to prevent dilution or enlargement of the rights of Participants that otherwise would result from (x) any combination or exchange of Shares, (y) any issuance of rights or warrants to purchase securities or (z) any other corporate transaction or event having an effect similar to any of the foregoing. Moreover, in the event of any such transaction or event, the Committee may provide in substitution for any or all outstanding Awards under this Plan such alternative consideration as it may in good faith determine to be equitable under the circumstances and may require in connection therewith the surrender of all Awards so replaced. The Committee may also make or provide for such adjustments in the number of Shares specified in Section 3 of this Plan as the Committee in its sole discretion may in good faith determine to be appropriate in order to reflect any transaction or event described in this Section 11. Any actions taken under this Section 11 shall be made in accordance with any applicable provisions of Section 409A of the Code, including without limitation restrictions with regard to the adjustment of Options and Stock Appreciation Rights that are considered exempt from Section 409A of the Code.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12.</w:t>
      </w:r>
      <w:r>
        <w:rPr>
          <w:rFonts w:ascii="Times New Roman;serif" w:hAnsi="Times New Roman;serif"/>
          <w:b w:val="false"/>
          <w:i/>
          <w:color w:val="000000"/>
          <w:sz w:val="20"/>
        </w:rPr>
        <w:t>Fractional Shares</w:t>
      </w:r>
      <w:r>
        <w:rPr>
          <w:rFonts w:ascii="Times New Roman;serif" w:hAnsi="Times New Roman;serif"/>
          <w:b w:val="false"/>
          <w:color w:val="000000"/>
          <w:sz w:val="20"/>
        </w:rPr>
        <w:t>. The Company shall not issue any fractional Shares pursuant to this Plan and shall settle any such fractional Shares in cash.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13.</w:t>
      </w:r>
      <w:r>
        <w:rPr>
          <w:rFonts w:ascii="Times New Roman;serif" w:hAnsi="Times New Roman;serif"/>
          <w:b w:val="false"/>
          <w:i/>
          <w:color w:val="000000"/>
          <w:sz w:val="20"/>
        </w:rPr>
        <w:t>Withholding Taxes</w:t>
      </w:r>
      <w:r>
        <w:rPr>
          <w:rFonts w:ascii="Times New Roman;serif" w:hAnsi="Times New Roman;serif"/>
          <w:b w:val="false"/>
          <w:color w:val="000000"/>
          <w:sz w:val="20"/>
        </w:rPr>
        <w:t>. To the extent that the Company is required to withhold federal, state, local or foreign taxes in connection with any payment made or benefit realized by a Participant or other person under this Plan, it shall be a condition to the receipt of such payment or the realization of such benefit that the Participant or such other person make arrangements satisfactory to the Company for payment of all such taxes required to be withheld. At the discretion of the Committee, such arrangements may include relinquishment of a portion of such benefit.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14.</w:t>
      </w:r>
      <w:r>
        <w:rPr>
          <w:rFonts w:ascii="Times New Roman;serif" w:hAnsi="Times New Roman;serif"/>
          <w:b w:val="false"/>
          <w:i/>
          <w:color w:val="000000"/>
          <w:sz w:val="20"/>
        </w:rPr>
        <w:t>Certain Terminations of Employment, Hardship and Approved Leaves of Absence</w:t>
      </w:r>
      <w:r>
        <w:rPr>
          <w:rFonts w:ascii="Times New Roman;serif" w:hAnsi="Times New Roman;serif"/>
          <w:b w:val="false"/>
          <w:color w:val="000000"/>
          <w:sz w:val="20"/>
        </w:rPr>
        <w:t>. Notwithstanding any other provision of this Plan to the contrary, in the event of termination of employment by reason of death, disability, normal retirement, early retirement with the consent of the Company or leave of absence approved by the Company, or in the event of hardship or other special circumstances, of a Participant who holds an Option or Stock Appreciation Right that is not immediately and fully exercisable, any Restricted Shares as to which the substantial risk of forfeiture or the prohibition or restriction on transfer has not lapsed, any Restricted Share Units that have not been fully earned, or any Shares that are subject to any transfer restriction pursuant to Section 10(c) of this Plan, the Committee may in its sole discretion take any action that it deems to be equitable under the circumstances or in the best interests of the Company, including, without limitation, waiving or modifying any limitation or requirement with respect to any Award under this Plan.</w:t>
      </w:r>
    </w:p>
    <w:p>
      <w:pPr>
        <w:pStyle w:val="TextBody"/>
        <w:bidi w:val="0"/>
        <w:spacing w:before="0" w:after="0"/>
        <w:ind w:left="0" w:right="0" w:firstLine="360"/>
        <w:jc w:val="both"/>
        <w:rPr/>
      </w:pPr>
      <w:r>
        <w:rPr/>
      </w:r>
    </w:p>
    <w:p>
      <w:pPr>
        <w:pStyle w:val="TextBody"/>
        <w:bidi w:val="0"/>
        <w:spacing w:lineRule="auto" w:line="288"/>
        <w:ind w:left="0" w:right="0" w:firstLine="360"/>
        <w:jc w:val="both"/>
        <w:rPr/>
      </w:pPr>
      <w:r>
        <w:rPr>
          <w:rFonts w:ascii="Times New Roman;serif" w:hAnsi="Times New Roman;serif"/>
          <w:b w:val="false"/>
          <w:color w:val="000000"/>
          <w:sz w:val="20"/>
        </w:rPr>
        <w:t>15.</w:t>
      </w:r>
      <w:r>
        <w:rPr>
          <w:rFonts w:ascii="Times New Roman;serif" w:hAnsi="Times New Roman;serif"/>
          <w:b w:val="false"/>
          <w:i/>
          <w:color w:val="000000"/>
          <w:sz w:val="20"/>
        </w:rPr>
        <w:t>Foreign Employees</w:t>
      </w:r>
      <w:r>
        <w:rPr>
          <w:rFonts w:ascii="Times New Roman;serif" w:hAnsi="Times New Roman;serif"/>
          <w:b w:val="false"/>
          <w:color w:val="000000"/>
          <w:sz w:val="20"/>
        </w:rPr>
        <w:t xml:space="preserve">. In order to facilitate the making of any grant or combination of grants under this Plan, the Committee may provide for such special terms for Awards to Participants who are foreign nationals, or who are employed by the Company or any Subsidiary outside of the United States of America, as the Committee may consider necessary or appropriate to accommodate </w: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differences in local law, tax policy or custom. Moreover, the Committee may approve such supplements to, or amendments, restatements or alternative versions of, this Plan as it may consider necessary or appropriate for such purposes without thereby affecting the terms of this Plan as in effect for any other purpose, provided that no such supplements, amendments, restatements or alternative versions shall include any provisions that are inconsistent with the terms of this Plan, as then in effect, unless this Plan could have been amended to eliminate such inconsistency without further approval by the stockholders of the Company.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16.</w:t>
      </w:r>
      <w:r>
        <w:rPr>
          <w:rFonts w:ascii="Times New Roman;serif" w:hAnsi="Times New Roman;serif"/>
          <w:b w:val="false"/>
          <w:i/>
          <w:color w:val="000000"/>
          <w:sz w:val="20"/>
        </w:rPr>
        <w:t>Recoupment Policy</w:t>
      </w:r>
      <w:r>
        <w:rPr>
          <w:rFonts w:ascii="Times New Roman;serif" w:hAnsi="Times New Roman;serif"/>
          <w:b w:val="false"/>
          <w:color w:val="000000"/>
          <w:sz w:val="20"/>
        </w:rPr>
        <w:t xml:space="preserve">. Each Award shall be subject to the applicable provisions of the Company’s Incentive-Based Compensation Recoupment Policy, as in effect from time-to-time, and any other compensation recoupment or clawback policy that may from time-to-time be adopted or amended by the Company (including but not limited to any policies adopted or amended to comply with applicable laws or stock exchange listing requirements).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17.</w:t>
      </w:r>
      <w:r>
        <w:rPr>
          <w:rFonts w:ascii="Times New Roman;serif" w:hAnsi="Times New Roman;serif"/>
          <w:b w:val="false"/>
          <w:i/>
          <w:color w:val="000000"/>
          <w:sz w:val="20"/>
        </w:rPr>
        <w:t>Amendments and Other Matters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This Plan may be amended from time to time by the Board, but no such amendment shall increase any of the limitations specified in Section 3 of this Plan, other than to reflect an adjustment made in accordance with Section 11, without the further approval of the stockholders of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The Committee shall not re-price any Option or Stock Appreciation Right granted under the Plan or purchase, cancel or buy out an underwater Option or Stock Appreciation Right, except with the approval of the affirmative vote of the majority of Shares voting at a meeting of the Company’s stockholders.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This Plan shall not confer upon any Participant any right with respect to continuance of employment or other service with the Company or any Subsidiary and shall not interfere in any way with any right that the Company or any Subsidiary would otherwise have to terminate any Participant’s employment or other service at any time.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To the extent that any provision of this Plan would prevent any Option that was intended to qualify under particular provisions of the Code from so qualifying, such provision of this Plan shall be null and void with respect to such Option, provided that such provision shall remain in effect with respect to other Options, and there shall be no further effect on any provision of this Plan.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both"/>
        <w:rPr/>
      </w:pPr>
      <w:r>
        <w:rPr>
          <w:rFonts w:ascii="Times New Roman;serif" w:hAnsi="Times New Roman;serif"/>
          <w:b w:val="false"/>
          <w:color w:val="000000"/>
          <w:sz w:val="20"/>
        </w:rPr>
        <w:t>18.</w:t>
      </w:r>
      <w:r>
        <w:rPr>
          <w:rFonts w:ascii="Times New Roman;serif" w:hAnsi="Times New Roman;serif"/>
          <w:b w:val="false"/>
          <w:i/>
          <w:color w:val="000000"/>
          <w:sz w:val="20"/>
        </w:rPr>
        <w:t>Effective Date and Stockholder Approval</w:t>
      </w:r>
      <w:r>
        <w:rPr>
          <w:rFonts w:ascii="Times New Roman;serif" w:hAnsi="Times New Roman;serif"/>
          <w:b w:val="false"/>
          <w:color w:val="000000"/>
          <w:sz w:val="20"/>
        </w:rPr>
        <w:t xml:space="preserve">. This Plan (a) was originally approved by the Board on July 27, 2004 and became effective upon its approval by the stockholders of the Company on October 4, 2004; (b) was subsequently amended by the Board on August 3, 2006 and, giving effect to the amendment referenced in clause (c) below, was approved by the stockholders of the Company on October 10, 2006; (c) was amended by the Board on September 26, 2006; (d) was thereafter amended by the Board on March 26, 2009, and subsequently approved by the stockholders of the Company on June 15, 2009; (3) was thereafter amended by the Board on March 27, 2014, and subsequently approved by the stockholders of the Company on June 18, 2014; (4) was thereafter amended by the Board on March 24, 2015, and subsequently approved by the stockholders of the Company on June 14, 2022; and (5) was thereafter amended by the Board on March 23, 2026. This Plan as herein amended and restated shall become effective upon its approval by the stockholders of the Company on June 23, 2026.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19.</w:t>
      </w:r>
      <w:r>
        <w:rPr>
          <w:rFonts w:ascii="Times New Roman;serif" w:hAnsi="Times New Roman;serif"/>
          <w:b w:val="false"/>
          <w:i/>
          <w:color w:val="000000"/>
          <w:sz w:val="20"/>
        </w:rPr>
        <w:t>Governing Law</w:t>
      </w:r>
      <w:r>
        <w:rPr>
          <w:rFonts w:ascii="Times New Roman;serif" w:hAnsi="Times New Roman;serif"/>
          <w:b w:val="false"/>
          <w:color w:val="000000"/>
          <w:sz w:val="20"/>
        </w:rPr>
        <w:t>. The validity, construction and effect of this Plan and any Award hereunder will be determined in accordance with the laws of the State of Georgia.</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20.</w:t>
      </w:r>
      <w:r>
        <w:rPr>
          <w:rFonts w:ascii="Times New Roman;serif" w:hAnsi="Times New Roman;serif"/>
          <w:b w:val="false"/>
          <w:i/>
          <w:color w:val="000000"/>
          <w:sz w:val="20"/>
        </w:rPr>
        <w:t>Section 409A of the Code</w:t>
      </w:r>
      <w:r>
        <w:rPr>
          <w:rFonts w:ascii="Times New Roman;serif" w:hAnsi="Times New Roman;serif"/>
          <w:b w:val="false"/>
          <w:color w:val="000000"/>
          <w:sz w:val="20"/>
        </w:rPr>
        <w:t>. Except as otherwise may be provided in an agreement evidencing a grant, all Awards under the Plan are intended to be exempt under Section 409A of the Code. It is the intent of the Company that the operation and administration of the Plan and all agreements evidencing Awards under the Plan not cause the acceleration of taxation, or the imposition of penalty taxes or interest, under Section 409A of the Code. Notwithstanding anything in the Plan or any Award agreement to the contrary, if a Participant is a “specified employee” as such term is used in Section 409A of the Code, then any payment to the Participant described in the Plan or an Award agreement upon his or her termination of employment that is not exempt from Section 409A of the Code, and that constitutes “deferred compensation” under Section 409A of the Code that is payable on account of “separation from service” (within the meaning of Section 409A of the Code), and that is otherwise payable within 6 months after Participant’s separation from service, shall instead be made on the date 6 months after such separation from service.</w:t>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AND SECTION 302 OF</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Thomas C. Chubb III,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Oxford Industries, Inc.</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268" w:type="dxa"/>
        <w:jc w:val="center"/>
        <w:tblInd w:w="0" w:type="dxa"/>
        <w:tblLayout w:type="fixed"/>
        <w:tblCellMar>
          <w:top w:w="28" w:type="dxa"/>
          <w:left w:w="28" w:type="dxa"/>
          <w:bottom w:w="28" w:type="dxa"/>
          <w:right w:w="28" w:type="dxa"/>
        </w:tblCellMar>
      </w:tblPr>
      <w:tblGrid>
        <w:gridCol w:w="200"/>
        <w:gridCol w:w="177"/>
        <w:gridCol w:w="178"/>
        <w:gridCol w:w="539"/>
        <w:gridCol w:w="539"/>
        <w:gridCol w:w="541"/>
        <w:gridCol w:w="1194"/>
        <w:gridCol w:w="1194"/>
        <w:gridCol w:w="170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4, 2026</w:t>
            </w:r>
          </w:p>
        </w:tc>
        <w:tc>
          <w:tcPr>
            <w:tcW w:w="40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C. Chubb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Thomas C. Chubb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Chief Executive Officer and President</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AND SECTION 302 OF</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K. Scott Grassmyer, certify that: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Oxford Industries, Inc.;</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659" w:type="dxa"/>
        <w:jc w:val="center"/>
        <w:tblInd w:w="0" w:type="dxa"/>
        <w:tblLayout w:type="fixed"/>
        <w:tblCellMar>
          <w:top w:w="28" w:type="dxa"/>
          <w:left w:w="28" w:type="dxa"/>
          <w:bottom w:w="28" w:type="dxa"/>
          <w:right w:w="28" w:type="dxa"/>
        </w:tblCellMar>
      </w:tblPr>
      <w:tblGrid>
        <w:gridCol w:w="200"/>
        <w:gridCol w:w="177"/>
        <w:gridCol w:w="178"/>
        <w:gridCol w:w="539"/>
        <w:gridCol w:w="539"/>
        <w:gridCol w:w="541"/>
        <w:gridCol w:w="1313"/>
        <w:gridCol w:w="1313"/>
        <w:gridCol w:w="1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4, 2026</w:t>
            </w:r>
          </w:p>
        </w:tc>
        <w:tc>
          <w:tcPr>
            <w:tcW w:w="44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K. Scott Grassmyer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 Scott Grassmyer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w:t>
              <w:br/>
              <w:t>Chief Operating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Oxford Industries, Inc. (the “Company”) on Form 10-Q (“Form 10-Q”) for the quarter ended August 1, 2026 as filed with the Securities and Exchange Commission on the date hereof, I, Thomas C. Chubb III, Chairman, Chief Executive Officer and President of the Company, and I, K. Scott Grassmyer, Executive Vice President, Chief Financial Officer and Chief Operating Officer of the Company, each certify, pursuant to 18 U.S.C. Section 1350, as adopted pursuant to Section 906 of the Sarbanes-Oxley Act of 2002, that, to my knowledge: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Form 10-Q fully complies with the requirements of section 13(a) or 15(d) of the Securities Exchange Act of 1934;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Form 10-Q fairly presents, in all material respects, the financial condition and results of operations of the Company.</w:t>
      </w:r>
    </w:p>
    <w:tbl>
      <w:tblPr>
        <w:tblW w:w="4827" w:type="dxa"/>
        <w:jc w:val="left"/>
        <w:tblInd w:w="0" w:type="dxa"/>
        <w:tblLayout w:type="fixed"/>
        <w:tblCellMar>
          <w:top w:w="28" w:type="dxa"/>
          <w:left w:w="28" w:type="dxa"/>
          <w:bottom w:w="28" w:type="dxa"/>
          <w:right w:w="28" w:type="dxa"/>
        </w:tblCellMar>
      </w:tblPr>
      <w:tblGrid>
        <w:gridCol w:w="1616"/>
        <w:gridCol w:w="1416"/>
        <w:gridCol w:w="1423"/>
        <w:gridCol w:w="109"/>
        <w:gridCol w:w="109"/>
        <w:gridCol w:w="154"/>
      </w:tblGrid>
      <w:tr>
        <w:trPr/>
        <w:tc>
          <w:tcPr>
            <w:tcW w:w="161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C. Chubb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Thomas C. Chubb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Chief Executive Officer and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K. Scott Grassmyer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 Scott Grassmyer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Operating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5288/000007528817000047/oxmex31articlesasamendedth.htm" TargetMode="External"/><Relationship Id="rId3" Type="http://schemas.openxmlformats.org/officeDocument/2006/relationships/hyperlink" Target="https://www.sec.gov/Archives/edgar/data/75288/000007528826000058/oxm-20260502xex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28869</Words>
  <Characters>153310</Characters>
  <CharactersWithSpaces>179417</CharactersWithSpaces>
  <Paragraphs>3860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